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FC" w:rsidRPr="006D24B9" w:rsidRDefault="00552809" w:rsidP="006D24B9">
      <w:pPr>
        <w:jc w:val="center"/>
        <w:rPr>
          <w:b/>
          <w:sz w:val="28"/>
          <w:szCs w:val="28"/>
        </w:rPr>
      </w:pPr>
      <w:r>
        <w:rPr>
          <w:b/>
          <w:sz w:val="28"/>
          <w:szCs w:val="28"/>
        </w:rPr>
        <w:t xml:space="preserve">  </w:t>
      </w:r>
    </w:p>
    <w:p w:rsidR="000F2DC6" w:rsidRDefault="006D24B9" w:rsidP="006D24B9">
      <w:pPr>
        <w:rPr>
          <w:rFonts w:eastAsia="Times New Roman" w:cs="Arial"/>
          <w:b/>
          <w:color w:val="000000"/>
          <w:sz w:val="24"/>
          <w:szCs w:val="24"/>
        </w:rPr>
      </w:pPr>
      <w:r w:rsidRPr="00620A8A">
        <w:rPr>
          <w:rFonts w:eastAsia="Times New Roman" w:cs="Arial"/>
          <w:b/>
          <w:color w:val="000000"/>
          <w:sz w:val="24"/>
          <w:szCs w:val="24"/>
        </w:rPr>
        <w:t>PREVALENCE OF BE</w:t>
      </w:r>
      <w:r w:rsidR="006232C6">
        <w:rPr>
          <w:rFonts w:eastAsia="Times New Roman" w:cs="Arial"/>
          <w:b/>
          <w:color w:val="000000"/>
          <w:sz w:val="24"/>
          <w:szCs w:val="24"/>
        </w:rPr>
        <w:t xml:space="preserve">NIGN PROSTATIC </w:t>
      </w:r>
      <w:proofErr w:type="gramStart"/>
      <w:r w:rsidR="006232C6">
        <w:rPr>
          <w:rFonts w:eastAsia="Times New Roman" w:cs="Arial"/>
          <w:b/>
          <w:color w:val="000000"/>
          <w:sz w:val="24"/>
          <w:szCs w:val="24"/>
        </w:rPr>
        <w:t xml:space="preserve">HYPERPLASIA </w:t>
      </w:r>
      <w:r w:rsidR="004F7827">
        <w:rPr>
          <w:rFonts w:eastAsia="Times New Roman" w:cs="Arial"/>
          <w:b/>
          <w:color w:val="000000"/>
          <w:sz w:val="24"/>
          <w:szCs w:val="24"/>
        </w:rPr>
        <w:t xml:space="preserve"> </w:t>
      </w:r>
      <w:r w:rsidR="006232C6">
        <w:rPr>
          <w:rFonts w:eastAsia="Times New Roman" w:cs="Arial"/>
          <w:b/>
          <w:color w:val="000000"/>
          <w:sz w:val="24"/>
          <w:szCs w:val="24"/>
        </w:rPr>
        <w:t>AND</w:t>
      </w:r>
      <w:proofErr w:type="gramEnd"/>
      <w:r w:rsidR="006232C6">
        <w:rPr>
          <w:rFonts w:eastAsia="Times New Roman" w:cs="Arial"/>
          <w:b/>
          <w:color w:val="000000"/>
          <w:sz w:val="24"/>
          <w:szCs w:val="24"/>
        </w:rPr>
        <w:t xml:space="preserve"> PROSTATE CANCER </w:t>
      </w:r>
      <w:r w:rsidRPr="00620A8A">
        <w:rPr>
          <w:rFonts w:eastAsia="Times New Roman" w:cs="Arial"/>
          <w:b/>
          <w:color w:val="000000"/>
          <w:sz w:val="24"/>
          <w:szCs w:val="24"/>
        </w:rPr>
        <w:t xml:space="preserve"> IN AFRICANS AND AFRICANS IN THE DIASPORA</w:t>
      </w:r>
    </w:p>
    <w:p w:rsidR="00BA4175" w:rsidRDefault="00BA4175" w:rsidP="00BA4175">
      <w:pPr>
        <w:rPr>
          <w:rFonts w:eastAsia="Times New Roman" w:cs="Arial"/>
          <w:b/>
          <w:color w:val="000000"/>
          <w:sz w:val="24"/>
          <w:szCs w:val="24"/>
        </w:rPr>
      </w:pPr>
      <w:r>
        <w:rPr>
          <w:rFonts w:eastAsia="Times New Roman" w:cs="Arial"/>
          <w:b/>
          <w:color w:val="000000"/>
          <w:sz w:val="24"/>
          <w:szCs w:val="24"/>
        </w:rPr>
        <w:t>LA PREVALENCE DE LA BENIGN PROSTATIQUE HYPERPLASIE ET CANCER DE LA   PROSTATE CHEZ LES  AFRICAINS LES AFRICAINS EN DIASPORA</w:t>
      </w:r>
    </w:p>
    <w:p w:rsidR="00BA4175" w:rsidRPr="000A040D" w:rsidRDefault="00BA4175" w:rsidP="006D24B9">
      <w:pPr>
        <w:rPr>
          <w:rFonts w:eastAsia="Times New Roman" w:cs="Arial"/>
          <w:b/>
          <w:color w:val="000000"/>
          <w:sz w:val="24"/>
          <w:szCs w:val="24"/>
        </w:rPr>
      </w:pPr>
    </w:p>
    <w:p w:rsidR="003F6226" w:rsidRDefault="006D24B9" w:rsidP="000A040D">
      <w:pPr>
        <w:spacing w:after="0"/>
        <w:rPr>
          <w:rFonts w:eastAsia="Times New Roman" w:cs="Arial"/>
          <w:bCs/>
          <w:color w:val="000000"/>
          <w:sz w:val="24"/>
          <w:szCs w:val="24"/>
        </w:rPr>
      </w:pPr>
      <w:r w:rsidRPr="00620A8A">
        <w:rPr>
          <w:rFonts w:eastAsia="Times New Roman" w:cs="Arial"/>
          <w:bCs/>
          <w:color w:val="000000"/>
          <w:sz w:val="24"/>
          <w:szCs w:val="24"/>
        </w:rPr>
        <w:t xml:space="preserve"> </w:t>
      </w:r>
    </w:p>
    <w:p w:rsidR="000A040D" w:rsidRPr="00704077" w:rsidRDefault="00F03B3A" w:rsidP="000A040D">
      <w:pPr>
        <w:spacing w:after="0"/>
        <w:rPr>
          <w:rFonts w:eastAsia="Times New Roman" w:cs="Arial"/>
          <w:b/>
          <w:bCs/>
          <w:color w:val="000000"/>
          <w:sz w:val="24"/>
          <w:szCs w:val="24"/>
        </w:rPr>
      </w:pPr>
      <w:r w:rsidRPr="00704077">
        <w:rPr>
          <w:rFonts w:eastAsia="Times New Roman" w:cs="Arial"/>
          <w:b/>
          <w:bCs/>
          <w:color w:val="000000"/>
          <w:sz w:val="24"/>
          <w:szCs w:val="24"/>
        </w:rPr>
        <w:t>YEBOAH ED</w:t>
      </w:r>
      <w:r w:rsidR="006D24B9" w:rsidRPr="00704077">
        <w:rPr>
          <w:rFonts w:eastAsia="Times New Roman" w:cs="Arial"/>
          <w:b/>
          <w:bCs/>
          <w:color w:val="000000"/>
          <w:sz w:val="24"/>
          <w:szCs w:val="24"/>
        </w:rPr>
        <w:t xml:space="preserve">        </w:t>
      </w:r>
    </w:p>
    <w:p w:rsidR="006232C6" w:rsidRPr="00620A8A" w:rsidRDefault="00F03B3A" w:rsidP="006232C6">
      <w:pPr>
        <w:spacing w:after="0"/>
        <w:rPr>
          <w:rFonts w:eastAsia="Times New Roman" w:cs="Arial"/>
          <w:bCs/>
          <w:color w:val="000000"/>
          <w:sz w:val="24"/>
          <w:szCs w:val="24"/>
        </w:rPr>
      </w:pPr>
      <w:r>
        <w:rPr>
          <w:rFonts w:eastAsia="Times New Roman" w:cs="Arial"/>
          <w:bCs/>
          <w:color w:val="000000"/>
          <w:sz w:val="24"/>
          <w:szCs w:val="24"/>
        </w:rPr>
        <w:t xml:space="preserve">Department of Surgery, </w:t>
      </w:r>
      <w:r w:rsidR="006D24B9" w:rsidRPr="003F6226">
        <w:rPr>
          <w:rFonts w:eastAsia="Times New Roman" w:cs="Arial"/>
          <w:bCs/>
          <w:color w:val="000000"/>
          <w:sz w:val="24"/>
          <w:szCs w:val="24"/>
        </w:rPr>
        <w:t>University of Ghana School of Medicine and Dentistry, Korle Bu Teaching Hospital</w:t>
      </w:r>
      <w:r w:rsidR="00D766BB" w:rsidRPr="003F6226">
        <w:rPr>
          <w:rFonts w:eastAsia="Times New Roman" w:cs="Arial"/>
          <w:bCs/>
          <w:color w:val="000000"/>
          <w:sz w:val="24"/>
          <w:szCs w:val="24"/>
        </w:rPr>
        <w:t>, Accra</w:t>
      </w:r>
      <w:r>
        <w:rPr>
          <w:rFonts w:eastAsia="Times New Roman" w:cs="Arial"/>
          <w:bCs/>
          <w:color w:val="000000"/>
          <w:sz w:val="24"/>
          <w:szCs w:val="24"/>
        </w:rPr>
        <w:t>, Ghana.</w:t>
      </w:r>
      <w:r w:rsidR="006232C6">
        <w:rPr>
          <w:rFonts w:eastAsia="Times New Roman" w:cs="Arial"/>
          <w:bCs/>
          <w:color w:val="000000"/>
          <w:sz w:val="24"/>
          <w:szCs w:val="24"/>
        </w:rPr>
        <w:t xml:space="preserve"> </w:t>
      </w:r>
      <w:r w:rsidR="006232C6" w:rsidRPr="00620A8A">
        <w:rPr>
          <w:rFonts w:eastAsia="Times New Roman" w:cs="Arial"/>
          <w:bCs/>
          <w:color w:val="000000"/>
          <w:sz w:val="24"/>
          <w:szCs w:val="24"/>
        </w:rPr>
        <w:t>Email: kofiyebuk@gmail.com</w:t>
      </w:r>
    </w:p>
    <w:p w:rsidR="006D24B9" w:rsidRPr="003F6226" w:rsidRDefault="006D24B9" w:rsidP="003F6226">
      <w:pPr>
        <w:rPr>
          <w:rFonts w:eastAsia="Times New Roman" w:cs="Arial"/>
          <w:bCs/>
          <w:color w:val="000000"/>
          <w:sz w:val="24"/>
          <w:szCs w:val="24"/>
        </w:rPr>
      </w:pPr>
    </w:p>
    <w:p w:rsidR="006D24B9" w:rsidRPr="00620A8A" w:rsidRDefault="006D24B9" w:rsidP="006D24B9">
      <w:pPr>
        <w:rPr>
          <w:rFonts w:eastAsia="Times New Roman" w:cs="Arial"/>
          <w:bCs/>
          <w:color w:val="000000"/>
          <w:sz w:val="24"/>
          <w:szCs w:val="24"/>
        </w:rPr>
      </w:pPr>
      <w:r w:rsidRPr="00620A8A">
        <w:rPr>
          <w:rFonts w:eastAsia="Times New Roman" w:cs="Arial"/>
          <w:bCs/>
          <w:color w:val="000000"/>
          <w:sz w:val="24"/>
          <w:szCs w:val="24"/>
          <w:u w:val="single"/>
        </w:rPr>
        <w:t>SOURCES OF GRANT</w:t>
      </w:r>
      <w:r w:rsidRPr="00620A8A">
        <w:rPr>
          <w:rFonts w:eastAsia="Times New Roman" w:cs="Arial"/>
          <w:bCs/>
          <w:color w:val="000000"/>
          <w:sz w:val="24"/>
          <w:szCs w:val="24"/>
        </w:rPr>
        <w:t>: The Ghana Study was part of Ghana Prostate Health Study (GPHS) and Ca</w:t>
      </w:r>
      <w:r w:rsidR="00C653BE">
        <w:rPr>
          <w:rFonts w:eastAsia="Times New Roman" w:cs="Arial"/>
          <w:bCs/>
          <w:color w:val="000000"/>
          <w:sz w:val="24"/>
          <w:szCs w:val="24"/>
        </w:rPr>
        <w:t>se Expansion Studies 2002 – 2013</w:t>
      </w:r>
      <w:r w:rsidR="00D22D27">
        <w:rPr>
          <w:rFonts w:eastAsia="Times New Roman" w:cs="Arial"/>
          <w:bCs/>
          <w:color w:val="000000"/>
          <w:sz w:val="24"/>
          <w:szCs w:val="24"/>
        </w:rPr>
        <w:t xml:space="preserve">  </w:t>
      </w:r>
      <w:r w:rsidRPr="00620A8A">
        <w:rPr>
          <w:rFonts w:eastAsia="Times New Roman" w:cs="Arial"/>
          <w:bCs/>
          <w:color w:val="000000"/>
          <w:sz w:val="24"/>
          <w:szCs w:val="24"/>
        </w:rPr>
        <w:t xml:space="preserve"> supported by National Cancer Institute/National Institute of Health (NCI/NIH)</w:t>
      </w:r>
      <w:r w:rsidR="000A040D">
        <w:rPr>
          <w:rFonts w:eastAsia="Times New Roman" w:cs="Arial"/>
          <w:bCs/>
          <w:color w:val="000000"/>
          <w:sz w:val="24"/>
          <w:szCs w:val="24"/>
        </w:rPr>
        <w:t xml:space="preserve"> Bethesda</w:t>
      </w:r>
      <w:r w:rsidRPr="00620A8A">
        <w:rPr>
          <w:rFonts w:eastAsia="Times New Roman" w:cs="Arial"/>
          <w:bCs/>
          <w:color w:val="000000"/>
          <w:sz w:val="24"/>
          <w:szCs w:val="24"/>
        </w:rPr>
        <w:t xml:space="preserve">, the University </w:t>
      </w:r>
      <w:proofErr w:type="gramStart"/>
      <w:r w:rsidR="00D22D27">
        <w:rPr>
          <w:rFonts w:eastAsia="Times New Roman" w:cs="Arial"/>
          <w:bCs/>
          <w:color w:val="000000"/>
          <w:sz w:val="24"/>
          <w:szCs w:val="24"/>
        </w:rPr>
        <w:t xml:space="preserve">of Ghana School </w:t>
      </w:r>
      <w:r w:rsidRPr="00620A8A">
        <w:rPr>
          <w:rFonts w:eastAsia="Times New Roman" w:cs="Arial"/>
          <w:bCs/>
          <w:color w:val="000000"/>
          <w:sz w:val="24"/>
          <w:szCs w:val="24"/>
        </w:rPr>
        <w:t>of</w:t>
      </w:r>
      <w:proofErr w:type="gramEnd"/>
      <w:r w:rsidRPr="00620A8A">
        <w:rPr>
          <w:rFonts w:eastAsia="Times New Roman" w:cs="Arial"/>
          <w:bCs/>
          <w:color w:val="000000"/>
          <w:sz w:val="24"/>
          <w:szCs w:val="24"/>
        </w:rPr>
        <w:t xml:space="preserve"> Medicine and Dentistry, the Korle Bu Teaching Hospital and Government of Ghana through the Ministry of Health (MOH) Ghana.</w:t>
      </w:r>
    </w:p>
    <w:p w:rsidR="006D24B9" w:rsidRPr="00620A8A" w:rsidRDefault="006D24B9" w:rsidP="006D24B9">
      <w:pPr>
        <w:rPr>
          <w:rFonts w:eastAsia="Times New Roman" w:cs="Arial"/>
          <w:bCs/>
          <w:color w:val="000000"/>
          <w:sz w:val="24"/>
          <w:szCs w:val="24"/>
        </w:rPr>
      </w:pPr>
      <w:r w:rsidRPr="00620A8A">
        <w:rPr>
          <w:rFonts w:eastAsia="Times New Roman" w:cs="Arial"/>
          <w:bCs/>
          <w:color w:val="000000"/>
          <w:sz w:val="24"/>
          <w:szCs w:val="24"/>
        </w:rPr>
        <w:t>The GPHS and Case Expansio</w:t>
      </w:r>
      <w:r w:rsidR="000A040D">
        <w:rPr>
          <w:rFonts w:eastAsia="Times New Roman" w:cs="Arial"/>
          <w:bCs/>
          <w:color w:val="000000"/>
          <w:sz w:val="24"/>
          <w:szCs w:val="24"/>
        </w:rPr>
        <w:t>n Studies were approved by Institutio</w:t>
      </w:r>
      <w:r w:rsidRPr="00620A8A">
        <w:rPr>
          <w:rFonts w:eastAsia="Times New Roman" w:cs="Arial"/>
          <w:bCs/>
          <w:color w:val="000000"/>
          <w:sz w:val="24"/>
          <w:szCs w:val="24"/>
        </w:rPr>
        <w:t>nal Review Boards (IRB) of NIH, NCI, University of Ghana, Ghana Health Service and Ministry of Health Ghana.</w:t>
      </w:r>
    </w:p>
    <w:p w:rsidR="006D24B9" w:rsidRPr="00620A8A" w:rsidRDefault="006D24B9" w:rsidP="006232C6">
      <w:pPr>
        <w:rPr>
          <w:rFonts w:eastAsia="Times New Roman" w:cs="Arial"/>
          <w:bCs/>
          <w:color w:val="000000"/>
          <w:sz w:val="24"/>
          <w:szCs w:val="24"/>
        </w:rPr>
      </w:pPr>
      <w:r w:rsidRPr="00BD71AA">
        <w:rPr>
          <w:rFonts w:eastAsia="Times New Roman" w:cs="Arial"/>
          <w:bCs/>
          <w:color w:val="000000"/>
          <w:sz w:val="24"/>
          <w:szCs w:val="24"/>
        </w:rPr>
        <w:t>C</w:t>
      </w:r>
      <w:r w:rsidR="00BD71AA">
        <w:rPr>
          <w:rFonts w:eastAsia="Times New Roman" w:cs="Arial"/>
          <w:bCs/>
          <w:color w:val="000000"/>
          <w:sz w:val="24"/>
          <w:szCs w:val="24"/>
        </w:rPr>
        <w:t>onflict of interest</w:t>
      </w:r>
      <w:r w:rsidRPr="00BD71AA">
        <w:rPr>
          <w:rFonts w:eastAsia="Times New Roman" w:cs="Arial"/>
          <w:bCs/>
          <w:color w:val="000000"/>
          <w:sz w:val="24"/>
          <w:szCs w:val="24"/>
        </w:rPr>
        <w:t>:</w:t>
      </w:r>
      <w:r w:rsidRPr="00620A8A">
        <w:rPr>
          <w:rFonts w:eastAsia="Times New Roman" w:cs="Arial"/>
          <w:bCs/>
          <w:color w:val="000000"/>
          <w:sz w:val="24"/>
          <w:szCs w:val="24"/>
        </w:rPr>
        <w:t xml:space="preserve">  </w:t>
      </w:r>
      <w:r w:rsidR="006232C6">
        <w:rPr>
          <w:rFonts w:eastAsia="Times New Roman" w:cs="Arial"/>
          <w:bCs/>
          <w:color w:val="000000"/>
          <w:sz w:val="24"/>
          <w:szCs w:val="24"/>
        </w:rPr>
        <w:t>None</w:t>
      </w:r>
    </w:p>
    <w:p w:rsidR="006D24B9" w:rsidRPr="00620A8A" w:rsidRDefault="006D24B9">
      <w:pPr>
        <w:rPr>
          <w:sz w:val="24"/>
          <w:szCs w:val="24"/>
        </w:rPr>
      </w:pPr>
    </w:p>
    <w:p w:rsidR="001340F4" w:rsidRPr="00620A8A" w:rsidRDefault="001340F4">
      <w:pPr>
        <w:rPr>
          <w:sz w:val="24"/>
          <w:szCs w:val="24"/>
        </w:rPr>
      </w:pPr>
    </w:p>
    <w:p w:rsidR="003F6226" w:rsidRDefault="003F6226" w:rsidP="001340F4">
      <w:pPr>
        <w:rPr>
          <w:b/>
          <w:sz w:val="24"/>
          <w:szCs w:val="24"/>
          <w:u w:val="single"/>
        </w:rPr>
      </w:pPr>
    </w:p>
    <w:p w:rsidR="001340F4" w:rsidRPr="006232C6" w:rsidRDefault="001340F4" w:rsidP="001340F4">
      <w:pPr>
        <w:rPr>
          <w:b/>
          <w:sz w:val="24"/>
          <w:szCs w:val="24"/>
        </w:rPr>
      </w:pPr>
      <w:r w:rsidRPr="006232C6">
        <w:rPr>
          <w:b/>
          <w:sz w:val="24"/>
          <w:szCs w:val="24"/>
        </w:rPr>
        <w:t>ABSTRACT</w:t>
      </w:r>
    </w:p>
    <w:p w:rsidR="001340F4" w:rsidRDefault="006E739B" w:rsidP="004666DD">
      <w:pPr>
        <w:spacing w:line="480" w:lineRule="auto"/>
        <w:rPr>
          <w:sz w:val="24"/>
          <w:szCs w:val="24"/>
        </w:rPr>
      </w:pPr>
      <w:r>
        <w:rPr>
          <w:b/>
          <w:sz w:val="24"/>
          <w:szCs w:val="24"/>
        </w:rPr>
        <w:t>Background</w:t>
      </w:r>
      <w:r w:rsidR="001340F4" w:rsidRPr="00E0382C">
        <w:rPr>
          <w:b/>
          <w:sz w:val="24"/>
          <w:szCs w:val="24"/>
        </w:rPr>
        <w:t>:</w:t>
      </w:r>
      <w:r w:rsidR="001340F4" w:rsidRPr="00620A8A">
        <w:rPr>
          <w:sz w:val="24"/>
          <w:szCs w:val="24"/>
        </w:rPr>
        <w:t xml:space="preserve">    There have been several publications on population or community prevalence of </w:t>
      </w:r>
      <w:r w:rsidR="004F0CC5">
        <w:rPr>
          <w:sz w:val="24"/>
          <w:szCs w:val="24"/>
        </w:rPr>
        <w:t>benign prostatic hyperplasia</w:t>
      </w:r>
      <w:r w:rsidR="001340F4" w:rsidRPr="00620A8A">
        <w:rPr>
          <w:sz w:val="24"/>
          <w:szCs w:val="24"/>
        </w:rPr>
        <w:t xml:space="preserve"> and </w:t>
      </w:r>
      <w:r w:rsidR="004F0CC5">
        <w:rPr>
          <w:sz w:val="24"/>
          <w:szCs w:val="24"/>
        </w:rPr>
        <w:t>prostate cancer</w:t>
      </w:r>
      <w:r w:rsidR="001340F4" w:rsidRPr="00620A8A">
        <w:rPr>
          <w:sz w:val="24"/>
          <w:szCs w:val="24"/>
        </w:rPr>
        <w:t xml:space="preserve"> from various countries and races but few reports are from Africa on Africans. </w:t>
      </w:r>
    </w:p>
    <w:p w:rsidR="004F0CC5" w:rsidRPr="004F0CC5" w:rsidRDefault="004F0CC5" w:rsidP="004666DD">
      <w:pPr>
        <w:spacing w:line="480" w:lineRule="auto"/>
        <w:rPr>
          <w:sz w:val="24"/>
          <w:szCs w:val="24"/>
        </w:rPr>
      </w:pPr>
      <w:r>
        <w:rPr>
          <w:b/>
          <w:sz w:val="24"/>
          <w:szCs w:val="24"/>
        </w:rPr>
        <w:lastRenderedPageBreak/>
        <w:t xml:space="preserve">Aim: </w:t>
      </w:r>
      <w:r w:rsidR="000622AC">
        <w:rPr>
          <w:sz w:val="24"/>
          <w:szCs w:val="24"/>
        </w:rPr>
        <w:t>A review on</w:t>
      </w:r>
      <w:r>
        <w:rPr>
          <w:sz w:val="24"/>
          <w:szCs w:val="24"/>
        </w:rPr>
        <w:t xml:space="preserve"> the prevalence of benign prostatic hyperplasia and prostate cancer in Africans</w:t>
      </w:r>
      <w:r w:rsidR="000622AC">
        <w:rPr>
          <w:sz w:val="24"/>
          <w:szCs w:val="24"/>
        </w:rPr>
        <w:t xml:space="preserve"> and other races.</w:t>
      </w:r>
    </w:p>
    <w:p w:rsidR="001340F4" w:rsidRPr="00620A8A" w:rsidRDefault="006E739B" w:rsidP="004666DD">
      <w:pPr>
        <w:spacing w:line="480" w:lineRule="auto"/>
        <w:rPr>
          <w:sz w:val="24"/>
          <w:szCs w:val="24"/>
        </w:rPr>
      </w:pPr>
      <w:r>
        <w:rPr>
          <w:b/>
          <w:sz w:val="24"/>
          <w:szCs w:val="24"/>
        </w:rPr>
        <w:t>Methodology</w:t>
      </w:r>
      <w:r w:rsidR="001340F4" w:rsidRPr="00E0382C">
        <w:rPr>
          <w:b/>
          <w:sz w:val="24"/>
          <w:szCs w:val="24"/>
        </w:rPr>
        <w:t>:</w:t>
      </w:r>
      <w:r w:rsidR="001340F4" w:rsidRPr="00620A8A">
        <w:rPr>
          <w:sz w:val="24"/>
          <w:szCs w:val="24"/>
        </w:rPr>
        <w:t xml:space="preserve"> Th</w:t>
      </w:r>
      <w:r w:rsidR="00D766BB">
        <w:rPr>
          <w:sz w:val="24"/>
          <w:szCs w:val="24"/>
        </w:rPr>
        <w:t xml:space="preserve">e current literature on </w:t>
      </w:r>
      <w:r w:rsidR="001340F4" w:rsidRPr="00620A8A">
        <w:rPr>
          <w:sz w:val="24"/>
          <w:szCs w:val="24"/>
        </w:rPr>
        <w:t xml:space="preserve">prevalence of </w:t>
      </w:r>
      <w:r w:rsidR="004F0CC5">
        <w:rPr>
          <w:sz w:val="24"/>
          <w:szCs w:val="24"/>
        </w:rPr>
        <w:t>benign prostatic hyperplasia</w:t>
      </w:r>
      <w:r w:rsidR="00B51318">
        <w:rPr>
          <w:sz w:val="24"/>
          <w:szCs w:val="24"/>
        </w:rPr>
        <w:t xml:space="preserve"> (BPH)</w:t>
      </w:r>
      <w:r w:rsidR="004F0CC5">
        <w:rPr>
          <w:sz w:val="24"/>
          <w:szCs w:val="24"/>
        </w:rPr>
        <w:t xml:space="preserve">, </w:t>
      </w:r>
      <w:r w:rsidR="00F274F8">
        <w:rPr>
          <w:sz w:val="24"/>
          <w:szCs w:val="24"/>
        </w:rPr>
        <w:t>prostate cancer</w:t>
      </w:r>
      <w:r w:rsidR="00307D8D">
        <w:rPr>
          <w:sz w:val="24"/>
          <w:szCs w:val="24"/>
        </w:rPr>
        <w:t xml:space="preserve"> (PC)</w:t>
      </w:r>
      <w:r w:rsidR="00F274F8">
        <w:rPr>
          <w:sz w:val="24"/>
          <w:szCs w:val="24"/>
        </w:rPr>
        <w:t xml:space="preserve">, and </w:t>
      </w:r>
      <w:r w:rsidR="004F0CC5">
        <w:rPr>
          <w:sz w:val="24"/>
          <w:szCs w:val="24"/>
        </w:rPr>
        <w:t>benign prostatic hyperplasia</w:t>
      </w:r>
      <w:r w:rsidR="001340F4" w:rsidRPr="00620A8A">
        <w:rPr>
          <w:sz w:val="24"/>
          <w:szCs w:val="24"/>
        </w:rPr>
        <w:t xml:space="preserve"> </w:t>
      </w:r>
      <w:r w:rsidR="00D766BB">
        <w:rPr>
          <w:sz w:val="24"/>
          <w:szCs w:val="24"/>
        </w:rPr>
        <w:t>co-existing</w:t>
      </w:r>
      <w:r w:rsidR="000622AC">
        <w:rPr>
          <w:sz w:val="24"/>
          <w:szCs w:val="24"/>
        </w:rPr>
        <w:t xml:space="preserve"> with prostate cancer</w:t>
      </w:r>
      <w:r w:rsidR="00ED3F23">
        <w:rPr>
          <w:sz w:val="24"/>
          <w:szCs w:val="24"/>
        </w:rPr>
        <w:t xml:space="preserve"> </w:t>
      </w:r>
      <w:r w:rsidR="001340F4" w:rsidRPr="00620A8A">
        <w:rPr>
          <w:sz w:val="24"/>
          <w:szCs w:val="24"/>
        </w:rPr>
        <w:t xml:space="preserve">in Africans and other races </w:t>
      </w:r>
      <w:r w:rsidR="00F274F8">
        <w:rPr>
          <w:sz w:val="24"/>
          <w:szCs w:val="24"/>
        </w:rPr>
        <w:t>is</w:t>
      </w:r>
      <w:r w:rsidR="00D766BB">
        <w:rPr>
          <w:sz w:val="24"/>
          <w:szCs w:val="24"/>
        </w:rPr>
        <w:t xml:space="preserve"> </w:t>
      </w:r>
      <w:r w:rsidR="001340F4" w:rsidRPr="00620A8A">
        <w:rPr>
          <w:sz w:val="24"/>
          <w:szCs w:val="24"/>
        </w:rPr>
        <w:t>reviewed.</w:t>
      </w:r>
    </w:p>
    <w:p w:rsidR="00A636BA" w:rsidRDefault="006E739B" w:rsidP="004666DD">
      <w:pPr>
        <w:spacing w:after="0" w:line="480" w:lineRule="auto"/>
        <w:rPr>
          <w:sz w:val="24"/>
          <w:szCs w:val="24"/>
        </w:rPr>
      </w:pPr>
      <w:r>
        <w:rPr>
          <w:b/>
          <w:sz w:val="24"/>
          <w:szCs w:val="24"/>
        </w:rPr>
        <w:t>Results</w:t>
      </w:r>
      <w:r w:rsidR="001340F4" w:rsidRPr="00E0382C">
        <w:rPr>
          <w:b/>
          <w:sz w:val="24"/>
          <w:szCs w:val="24"/>
        </w:rPr>
        <w:t>:</w:t>
      </w:r>
      <w:r w:rsidR="001340F4" w:rsidRPr="00620A8A">
        <w:rPr>
          <w:sz w:val="24"/>
          <w:szCs w:val="24"/>
        </w:rPr>
        <w:t xml:space="preserve">  </w:t>
      </w:r>
      <w:r w:rsidR="00E0382C">
        <w:rPr>
          <w:sz w:val="24"/>
          <w:szCs w:val="24"/>
        </w:rPr>
        <w:t>B</w:t>
      </w:r>
      <w:r w:rsidR="001011AF">
        <w:rPr>
          <w:sz w:val="24"/>
          <w:szCs w:val="24"/>
        </w:rPr>
        <w:t>e</w:t>
      </w:r>
      <w:r w:rsidR="00E0382C">
        <w:rPr>
          <w:sz w:val="24"/>
          <w:szCs w:val="24"/>
        </w:rPr>
        <w:t>nign prostatic hyperplasia</w:t>
      </w:r>
      <w:r w:rsidR="001011AF">
        <w:rPr>
          <w:sz w:val="24"/>
          <w:szCs w:val="24"/>
        </w:rPr>
        <w:t xml:space="preserve"> (BPH)</w:t>
      </w:r>
      <w:r w:rsidR="00E0382C">
        <w:rPr>
          <w:sz w:val="24"/>
          <w:szCs w:val="24"/>
        </w:rPr>
        <w:t xml:space="preserve"> prevalence</w:t>
      </w:r>
      <w:r w:rsidR="000A040D">
        <w:rPr>
          <w:sz w:val="24"/>
          <w:szCs w:val="24"/>
        </w:rPr>
        <w:t xml:space="preserve"> </w:t>
      </w:r>
      <w:r w:rsidR="00E0382C">
        <w:rPr>
          <w:sz w:val="24"/>
          <w:szCs w:val="24"/>
        </w:rPr>
        <w:t>in Ghana</w:t>
      </w:r>
      <w:r w:rsidR="001340F4" w:rsidRPr="00620A8A">
        <w:rPr>
          <w:sz w:val="24"/>
          <w:szCs w:val="24"/>
        </w:rPr>
        <w:t xml:space="preserve"> is responsible for 60% acute retention of urine and 28.6% of haematuria.  </w:t>
      </w:r>
      <w:r w:rsidR="00BC0841">
        <w:rPr>
          <w:sz w:val="24"/>
          <w:szCs w:val="24"/>
        </w:rPr>
        <w:t>Worldwide</w:t>
      </w:r>
      <w:r w:rsidR="001340F4" w:rsidRPr="00620A8A">
        <w:rPr>
          <w:sz w:val="24"/>
          <w:szCs w:val="24"/>
        </w:rPr>
        <w:t xml:space="preserve"> p</w:t>
      </w:r>
      <w:r w:rsidR="009A0567">
        <w:rPr>
          <w:sz w:val="24"/>
          <w:szCs w:val="24"/>
        </w:rPr>
        <w:t xml:space="preserve">revalence </w:t>
      </w:r>
      <w:r w:rsidR="00A636BA">
        <w:rPr>
          <w:sz w:val="24"/>
          <w:szCs w:val="24"/>
        </w:rPr>
        <w:t xml:space="preserve">of BPH </w:t>
      </w:r>
      <w:r w:rsidR="009A0567">
        <w:rPr>
          <w:sz w:val="24"/>
          <w:szCs w:val="24"/>
        </w:rPr>
        <w:t>varies from 20 – 62%</w:t>
      </w:r>
      <w:r w:rsidR="00A636BA">
        <w:rPr>
          <w:sz w:val="24"/>
          <w:szCs w:val="24"/>
        </w:rPr>
        <w:t xml:space="preserve"> in men over 50 years</w:t>
      </w:r>
      <w:r w:rsidR="001011AF">
        <w:rPr>
          <w:sz w:val="24"/>
          <w:szCs w:val="24"/>
        </w:rPr>
        <w:t xml:space="preserve"> and this</w:t>
      </w:r>
      <w:r w:rsidR="00A636BA">
        <w:rPr>
          <w:sz w:val="24"/>
          <w:szCs w:val="24"/>
        </w:rPr>
        <w:t xml:space="preserve"> includes USA, UK, Japan and Ghana</w:t>
      </w:r>
      <w:r w:rsidR="009A0567">
        <w:rPr>
          <w:sz w:val="24"/>
          <w:szCs w:val="24"/>
        </w:rPr>
        <w:t>.  R</w:t>
      </w:r>
      <w:r w:rsidR="001340F4" w:rsidRPr="00620A8A">
        <w:rPr>
          <w:sz w:val="24"/>
          <w:szCs w:val="24"/>
        </w:rPr>
        <w:t>eports from South Africa indicate prevale</w:t>
      </w:r>
      <w:r w:rsidR="00BC0841">
        <w:rPr>
          <w:sz w:val="24"/>
          <w:szCs w:val="24"/>
        </w:rPr>
        <w:t xml:space="preserve">nce of </w:t>
      </w:r>
      <w:r w:rsidR="009A0567">
        <w:rPr>
          <w:sz w:val="24"/>
          <w:szCs w:val="24"/>
        </w:rPr>
        <w:t xml:space="preserve">over </w:t>
      </w:r>
      <w:r w:rsidR="00BC0841">
        <w:rPr>
          <w:sz w:val="24"/>
          <w:szCs w:val="24"/>
        </w:rPr>
        <w:t>50% i</w:t>
      </w:r>
      <w:r w:rsidR="009A0567">
        <w:rPr>
          <w:sz w:val="24"/>
          <w:szCs w:val="24"/>
        </w:rPr>
        <w:t>n adult males</w:t>
      </w:r>
      <w:r w:rsidR="00A636BA">
        <w:rPr>
          <w:sz w:val="24"/>
          <w:szCs w:val="24"/>
        </w:rPr>
        <w:t xml:space="preserve"> of 60 years</w:t>
      </w:r>
      <w:r w:rsidR="001340F4" w:rsidRPr="00620A8A">
        <w:rPr>
          <w:sz w:val="24"/>
          <w:szCs w:val="24"/>
        </w:rPr>
        <w:t xml:space="preserve">.  </w:t>
      </w:r>
    </w:p>
    <w:p w:rsidR="001340F4" w:rsidRPr="00620A8A" w:rsidRDefault="001340F4" w:rsidP="004666DD">
      <w:pPr>
        <w:spacing w:after="0" w:line="480" w:lineRule="auto"/>
        <w:rPr>
          <w:sz w:val="24"/>
          <w:szCs w:val="24"/>
        </w:rPr>
      </w:pPr>
      <w:r w:rsidRPr="000A040D">
        <w:rPr>
          <w:sz w:val="24"/>
          <w:szCs w:val="24"/>
          <w:u w:val="single"/>
        </w:rPr>
        <w:t xml:space="preserve">BPH </w:t>
      </w:r>
      <w:r w:rsidR="00D766BB">
        <w:rPr>
          <w:sz w:val="24"/>
          <w:szCs w:val="24"/>
          <w:u w:val="single"/>
        </w:rPr>
        <w:t>co-existing</w:t>
      </w:r>
      <w:r w:rsidR="000A040D" w:rsidRPr="000A040D">
        <w:rPr>
          <w:sz w:val="24"/>
          <w:szCs w:val="24"/>
          <w:u w:val="single"/>
        </w:rPr>
        <w:t xml:space="preserve"> with </w:t>
      </w:r>
      <w:r w:rsidRPr="000A040D">
        <w:rPr>
          <w:sz w:val="24"/>
          <w:szCs w:val="24"/>
          <w:u w:val="single"/>
        </w:rPr>
        <w:t>PC</w:t>
      </w:r>
      <w:r w:rsidRPr="00620A8A">
        <w:rPr>
          <w:sz w:val="24"/>
          <w:szCs w:val="24"/>
        </w:rPr>
        <w:t xml:space="preserve"> – Reports from USA, UK and Japan and Ghana reveal moderate association of </w:t>
      </w:r>
      <w:r w:rsidR="00D766BB">
        <w:rPr>
          <w:sz w:val="24"/>
          <w:szCs w:val="24"/>
        </w:rPr>
        <w:t xml:space="preserve">BPH and PC.  The co-existence of </w:t>
      </w:r>
      <w:r w:rsidRPr="00620A8A">
        <w:rPr>
          <w:sz w:val="24"/>
          <w:szCs w:val="24"/>
        </w:rPr>
        <w:t>PC in pati</w:t>
      </w:r>
      <w:r w:rsidR="00BC0841">
        <w:rPr>
          <w:sz w:val="24"/>
          <w:szCs w:val="24"/>
        </w:rPr>
        <w:t>ents being treated for BPH is 3</w:t>
      </w:r>
      <w:r w:rsidRPr="00620A8A">
        <w:rPr>
          <w:sz w:val="24"/>
          <w:szCs w:val="24"/>
        </w:rPr>
        <w:t xml:space="preserve"> – 20% </w:t>
      </w:r>
    </w:p>
    <w:p w:rsidR="00A636BA" w:rsidRDefault="001340F4" w:rsidP="004666DD">
      <w:pPr>
        <w:spacing w:after="0" w:line="480" w:lineRule="auto"/>
        <w:rPr>
          <w:sz w:val="24"/>
          <w:szCs w:val="24"/>
        </w:rPr>
      </w:pPr>
      <w:r w:rsidRPr="000A040D">
        <w:rPr>
          <w:sz w:val="24"/>
          <w:szCs w:val="24"/>
          <w:u w:val="single"/>
        </w:rPr>
        <w:t>P</w:t>
      </w:r>
      <w:r w:rsidR="00E0382C">
        <w:rPr>
          <w:sz w:val="24"/>
          <w:szCs w:val="24"/>
          <w:u w:val="single"/>
        </w:rPr>
        <w:t xml:space="preserve">rostate </w:t>
      </w:r>
      <w:r w:rsidRPr="000A040D">
        <w:rPr>
          <w:sz w:val="24"/>
          <w:szCs w:val="24"/>
          <w:u w:val="single"/>
        </w:rPr>
        <w:t>C</w:t>
      </w:r>
      <w:r w:rsidR="00E0382C">
        <w:rPr>
          <w:sz w:val="24"/>
          <w:szCs w:val="24"/>
          <w:u w:val="single"/>
        </w:rPr>
        <w:t>ancer</w:t>
      </w:r>
      <w:r w:rsidRPr="000A040D">
        <w:rPr>
          <w:sz w:val="24"/>
          <w:szCs w:val="24"/>
          <w:u w:val="single"/>
        </w:rPr>
        <w:t xml:space="preserve"> prevalence</w:t>
      </w:r>
      <w:r w:rsidRPr="00620A8A">
        <w:rPr>
          <w:sz w:val="24"/>
          <w:szCs w:val="24"/>
        </w:rPr>
        <w:t xml:space="preserve"> – There is high prevalence in USA, Scandinavian Countries, </w:t>
      </w:r>
      <w:proofErr w:type="gramStart"/>
      <w:r w:rsidRPr="00620A8A">
        <w:rPr>
          <w:sz w:val="24"/>
          <w:szCs w:val="24"/>
        </w:rPr>
        <w:t>African</w:t>
      </w:r>
      <w:proofErr w:type="gramEnd"/>
      <w:r w:rsidRPr="00620A8A">
        <w:rPr>
          <w:sz w:val="24"/>
          <w:szCs w:val="24"/>
        </w:rPr>
        <w:t xml:space="preserve"> Americans (AA) and Caribbean blacks.  Ghana, Trinidad &amp; Tobago have reported high prevalence of</w:t>
      </w:r>
      <w:r w:rsidR="00CD0233" w:rsidRPr="00620A8A">
        <w:rPr>
          <w:sz w:val="24"/>
          <w:szCs w:val="24"/>
        </w:rPr>
        <w:t xml:space="preserve"> </w:t>
      </w:r>
      <w:r w:rsidRPr="00620A8A">
        <w:rPr>
          <w:sz w:val="24"/>
          <w:szCs w:val="24"/>
        </w:rPr>
        <w:t>6</w:t>
      </w:r>
      <w:r w:rsidR="00A636BA">
        <w:rPr>
          <w:sz w:val="24"/>
          <w:szCs w:val="24"/>
        </w:rPr>
        <w:t xml:space="preserve"> </w:t>
      </w:r>
      <w:r w:rsidRPr="00620A8A">
        <w:rPr>
          <w:sz w:val="24"/>
          <w:szCs w:val="24"/>
        </w:rPr>
        <w:t xml:space="preserve">–10% </w:t>
      </w:r>
      <w:r w:rsidR="00A636BA">
        <w:rPr>
          <w:sz w:val="24"/>
          <w:szCs w:val="24"/>
        </w:rPr>
        <w:t xml:space="preserve">in men aged 50 years and above </w:t>
      </w:r>
      <w:r w:rsidRPr="00620A8A">
        <w:rPr>
          <w:sz w:val="24"/>
          <w:szCs w:val="24"/>
        </w:rPr>
        <w:t xml:space="preserve">but others reported low prevalence in Africans </w:t>
      </w:r>
      <w:r w:rsidR="00D766BB">
        <w:rPr>
          <w:sz w:val="24"/>
          <w:szCs w:val="24"/>
        </w:rPr>
        <w:t xml:space="preserve">from Africa.  The low </w:t>
      </w:r>
      <w:r w:rsidRPr="00620A8A">
        <w:rPr>
          <w:sz w:val="24"/>
          <w:szCs w:val="24"/>
        </w:rPr>
        <w:t>reporting from Africa of 10 – 40</w:t>
      </w:r>
      <w:r w:rsidR="00A636BA">
        <w:rPr>
          <w:sz w:val="24"/>
          <w:szCs w:val="24"/>
        </w:rPr>
        <w:t xml:space="preserve">:100,000 </w:t>
      </w:r>
      <w:proofErr w:type="gramStart"/>
      <w:r w:rsidR="00A636BA">
        <w:rPr>
          <w:sz w:val="24"/>
          <w:szCs w:val="24"/>
        </w:rPr>
        <w:t>is</w:t>
      </w:r>
      <w:proofErr w:type="gramEnd"/>
      <w:r w:rsidR="00A636BA">
        <w:rPr>
          <w:sz w:val="24"/>
          <w:szCs w:val="24"/>
        </w:rPr>
        <w:t xml:space="preserve"> attributable to under </w:t>
      </w:r>
      <w:r w:rsidRPr="00620A8A">
        <w:rPr>
          <w:sz w:val="24"/>
          <w:szCs w:val="24"/>
        </w:rPr>
        <w:t>reporting, absence of PSA screening/testing, lack of reliable cancer registries and poor medical facilities</w:t>
      </w:r>
      <w:r w:rsidR="00A636BA">
        <w:rPr>
          <w:sz w:val="24"/>
          <w:szCs w:val="24"/>
        </w:rPr>
        <w:t xml:space="preserve">. </w:t>
      </w:r>
      <w:r w:rsidRPr="00620A8A">
        <w:rPr>
          <w:sz w:val="24"/>
          <w:szCs w:val="24"/>
        </w:rPr>
        <w:t xml:space="preserve"> </w:t>
      </w:r>
    </w:p>
    <w:p w:rsidR="001340F4" w:rsidRPr="00620A8A" w:rsidRDefault="001340F4" w:rsidP="004666DD">
      <w:pPr>
        <w:spacing w:after="0" w:line="480" w:lineRule="auto"/>
        <w:rPr>
          <w:sz w:val="24"/>
          <w:szCs w:val="24"/>
        </w:rPr>
      </w:pPr>
      <w:r w:rsidRPr="00620A8A">
        <w:rPr>
          <w:sz w:val="24"/>
          <w:szCs w:val="24"/>
          <w:u w:val="single"/>
        </w:rPr>
        <w:t>Economic Costs of BPH and PC</w:t>
      </w:r>
      <w:r w:rsidR="00B51318">
        <w:rPr>
          <w:sz w:val="24"/>
          <w:szCs w:val="24"/>
          <w:u w:val="single"/>
        </w:rPr>
        <w:t>:</w:t>
      </w:r>
      <w:r w:rsidR="00B51318">
        <w:rPr>
          <w:sz w:val="24"/>
          <w:szCs w:val="24"/>
        </w:rPr>
        <w:t xml:space="preserve"> </w:t>
      </w:r>
      <w:r w:rsidRPr="00620A8A">
        <w:rPr>
          <w:sz w:val="24"/>
          <w:szCs w:val="24"/>
        </w:rPr>
        <w:t xml:space="preserve"> BPH in the USA national direct costs are estimated at U$4B</w:t>
      </w:r>
      <w:r w:rsidR="00A636BA">
        <w:rPr>
          <w:sz w:val="24"/>
          <w:szCs w:val="24"/>
        </w:rPr>
        <w:t xml:space="preserve">illion and individual costs of </w:t>
      </w:r>
      <w:r w:rsidRPr="00620A8A">
        <w:rPr>
          <w:sz w:val="24"/>
          <w:szCs w:val="24"/>
        </w:rPr>
        <w:t>U</w:t>
      </w:r>
      <w:r w:rsidR="00A636BA">
        <w:rPr>
          <w:sz w:val="24"/>
          <w:szCs w:val="24"/>
        </w:rPr>
        <w:t>S</w:t>
      </w:r>
      <w:r w:rsidRPr="00620A8A">
        <w:rPr>
          <w:sz w:val="24"/>
          <w:szCs w:val="24"/>
        </w:rPr>
        <w:t>$1536 annually.  In Ghana, individual costs for BPH medicatio</w:t>
      </w:r>
      <w:r w:rsidR="00A636BA">
        <w:rPr>
          <w:sz w:val="24"/>
          <w:szCs w:val="24"/>
        </w:rPr>
        <w:t xml:space="preserve">ns range from US$300 – 550 </w:t>
      </w:r>
      <w:r w:rsidRPr="00620A8A">
        <w:rPr>
          <w:sz w:val="24"/>
          <w:szCs w:val="24"/>
        </w:rPr>
        <w:t xml:space="preserve">per year and cost for simple </w:t>
      </w:r>
      <w:r w:rsidR="00A636BA">
        <w:rPr>
          <w:sz w:val="24"/>
          <w:szCs w:val="24"/>
        </w:rPr>
        <w:t>prostatectomy/TURP is</w:t>
      </w:r>
      <w:r w:rsidR="00B51318">
        <w:rPr>
          <w:sz w:val="24"/>
          <w:szCs w:val="24"/>
        </w:rPr>
        <w:t xml:space="preserve"> estimated at</w:t>
      </w:r>
      <w:r w:rsidR="00A636BA">
        <w:rPr>
          <w:sz w:val="24"/>
          <w:szCs w:val="24"/>
        </w:rPr>
        <w:t xml:space="preserve"> US$1100</w:t>
      </w:r>
      <w:r w:rsidRPr="00620A8A">
        <w:rPr>
          <w:sz w:val="24"/>
          <w:szCs w:val="24"/>
        </w:rPr>
        <w:t>.</w:t>
      </w:r>
      <w:r w:rsidR="00A636BA">
        <w:rPr>
          <w:sz w:val="24"/>
          <w:szCs w:val="24"/>
          <w:vertAlign w:val="superscript"/>
        </w:rPr>
        <w:t xml:space="preserve"> </w:t>
      </w:r>
      <w:r w:rsidR="00A636BA">
        <w:rPr>
          <w:sz w:val="24"/>
          <w:szCs w:val="24"/>
        </w:rPr>
        <w:t xml:space="preserve"> </w:t>
      </w:r>
      <w:r w:rsidR="003F6226">
        <w:rPr>
          <w:sz w:val="24"/>
          <w:szCs w:val="24"/>
        </w:rPr>
        <w:t>For prostate cancer, i</w:t>
      </w:r>
      <w:r w:rsidRPr="00620A8A">
        <w:rPr>
          <w:sz w:val="24"/>
          <w:szCs w:val="24"/>
        </w:rPr>
        <w:t>ndividua</w:t>
      </w:r>
      <w:r w:rsidR="00BC0841">
        <w:rPr>
          <w:sz w:val="24"/>
          <w:szCs w:val="24"/>
        </w:rPr>
        <w:t xml:space="preserve">l direct costs from Europe </w:t>
      </w:r>
      <w:r w:rsidRPr="00620A8A">
        <w:rPr>
          <w:sz w:val="24"/>
          <w:szCs w:val="24"/>
        </w:rPr>
        <w:t xml:space="preserve">range from 6,575 – 12,000 euros, </w:t>
      </w:r>
      <w:r w:rsidRPr="00620A8A">
        <w:rPr>
          <w:sz w:val="24"/>
          <w:szCs w:val="24"/>
        </w:rPr>
        <w:lastRenderedPageBreak/>
        <w:t>£2818.00 UK an</w:t>
      </w:r>
      <w:r w:rsidR="00BC0841">
        <w:rPr>
          <w:sz w:val="24"/>
          <w:szCs w:val="24"/>
        </w:rPr>
        <w:t>d over U$12,000 – 20,000 in USA</w:t>
      </w:r>
      <w:r w:rsidR="00A636BA">
        <w:rPr>
          <w:sz w:val="24"/>
          <w:szCs w:val="24"/>
        </w:rPr>
        <w:t xml:space="preserve"> per annum</w:t>
      </w:r>
      <w:r w:rsidR="00BC0841">
        <w:rPr>
          <w:sz w:val="24"/>
          <w:szCs w:val="24"/>
        </w:rPr>
        <w:t xml:space="preserve">.  </w:t>
      </w:r>
      <w:r w:rsidRPr="00620A8A">
        <w:rPr>
          <w:sz w:val="24"/>
          <w:szCs w:val="24"/>
          <w:vertAlign w:val="superscript"/>
        </w:rPr>
        <w:t xml:space="preserve"> </w:t>
      </w:r>
      <w:proofErr w:type="gramStart"/>
      <w:r w:rsidRPr="00620A8A">
        <w:rPr>
          <w:sz w:val="24"/>
          <w:szCs w:val="24"/>
        </w:rPr>
        <w:t>In Ghana, indiv</w:t>
      </w:r>
      <w:r w:rsidR="00D766BB">
        <w:rPr>
          <w:sz w:val="24"/>
          <w:szCs w:val="24"/>
        </w:rPr>
        <w:t>idual direct costs ranges, for r</w:t>
      </w:r>
      <w:r w:rsidR="00BC0841">
        <w:rPr>
          <w:sz w:val="24"/>
          <w:szCs w:val="24"/>
        </w:rPr>
        <w:t xml:space="preserve">adical prostatectomy and </w:t>
      </w:r>
      <w:r w:rsidR="00A636BA">
        <w:rPr>
          <w:sz w:val="24"/>
          <w:szCs w:val="24"/>
        </w:rPr>
        <w:t>external beam radiotherapy</w:t>
      </w:r>
      <w:r w:rsidR="00BC0841">
        <w:rPr>
          <w:sz w:val="24"/>
          <w:szCs w:val="24"/>
        </w:rPr>
        <w:t xml:space="preserve"> </w:t>
      </w:r>
      <w:r w:rsidRPr="00620A8A">
        <w:rPr>
          <w:sz w:val="24"/>
          <w:szCs w:val="24"/>
        </w:rPr>
        <w:t>US</w:t>
      </w:r>
      <w:r w:rsidR="00A636BA">
        <w:rPr>
          <w:sz w:val="24"/>
          <w:szCs w:val="24"/>
        </w:rPr>
        <w:t>$1250 – 1500</w:t>
      </w:r>
      <w:r w:rsidRPr="00620A8A">
        <w:rPr>
          <w:sz w:val="24"/>
          <w:szCs w:val="24"/>
        </w:rPr>
        <w:t xml:space="preserve">, for </w:t>
      </w:r>
      <w:r w:rsidR="00B51318">
        <w:rPr>
          <w:sz w:val="24"/>
          <w:szCs w:val="24"/>
        </w:rPr>
        <w:t>brachytherapy</w:t>
      </w:r>
      <w:r w:rsidR="00607FF6">
        <w:rPr>
          <w:sz w:val="24"/>
          <w:szCs w:val="24"/>
        </w:rPr>
        <w:t xml:space="preserve"> 9,000</w:t>
      </w:r>
      <w:r w:rsidR="00B51318">
        <w:rPr>
          <w:sz w:val="24"/>
          <w:szCs w:val="24"/>
        </w:rPr>
        <w:t xml:space="preserve"> Euros</w:t>
      </w:r>
      <w:r w:rsidR="00607FF6">
        <w:rPr>
          <w:sz w:val="24"/>
          <w:szCs w:val="24"/>
        </w:rPr>
        <w:t xml:space="preserve">, for hormonal therapy </w:t>
      </w:r>
      <w:r w:rsidRPr="00620A8A">
        <w:rPr>
          <w:sz w:val="24"/>
          <w:szCs w:val="24"/>
        </w:rPr>
        <w:t>US</w:t>
      </w:r>
      <w:r w:rsidR="00607FF6">
        <w:rPr>
          <w:sz w:val="24"/>
          <w:szCs w:val="24"/>
        </w:rPr>
        <w:t>$</w:t>
      </w:r>
      <w:r w:rsidRPr="00620A8A">
        <w:rPr>
          <w:sz w:val="24"/>
          <w:szCs w:val="24"/>
        </w:rPr>
        <w:t xml:space="preserve">1600 – 3200) per year and </w:t>
      </w:r>
      <w:r w:rsidR="00BC0841">
        <w:rPr>
          <w:sz w:val="24"/>
          <w:szCs w:val="24"/>
        </w:rPr>
        <w:t>US</w:t>
      </w:r>
      <w:r w:rsidR="00607FF6">
        <w:rPr>
          <w:sz w:val="24"/>
          <w:szCs w:val="24"/>
        </w:rPr>
        <w:t>$</w:t>
      </w:r>
      <w:r w:rsidR="00BC0841">
        <w:rPr>
          <w:sz w:val="24"/>
          <w:szCs w:val="24"/>
        </w:rPr>
        <w:t>5</w:t>
      </w:r>
      <w:r w:rsidR="00607FF6">
        <w:rPr>
          <w:sz w:val="24"/>
          <w:szCs w:val="24"/>
        </w:rPr>
        <w:t>10</w:t>
      </w:r>
      <w:r w:rsidR="00BC0841">
        <w:rPr>
          <w:sz w:val="24"/>
          <w:szCs w:val="24"/>
        </w:rPr>
        <w:t xml:space="preserve"> for orchidectomy.</w:t>
      </w:r>
      <w:proofErr w:type="gramEnd"/>
    </w:p>
    <w:p w:rsidR="00607FF6" w:rsidRDefault="00607FF6" w:rsidP="004666DD">
      <w:pPr>
        <w:spacing w:after="0" w:line="480" w:lineRule="auto"/>
        <w:rPr>
          <w:sz w:val="24"/>
          <w:szCs w:val="24"/>
          <w:u w:val="single"/>
        </w:rPr>
      </w:pPr>
    </w:p>
    <w:p w:rsidR="001340F4" w:rsidRPr="00620A8A" w:rsidRDefault="006E739B" w:rsidP="004666DD">
      <w:pPr>
        <w:spacing w:line="480" w:lineRule="auto"/>
        <w:rPr>
          <w:sz w:val="24"/>
          <w:szCs w:val="24"/>
          <w:u w:val="single"/>
        </w:rPr>
      </w:pPr>
      <w:r>
        <w:rPr>
          <w:b/>
          <w:sz w:val="24"/>
          <w:szCs w:val="24"/>
        </w:rPr>
        <w:t>Conclusion</w:t>
      </w:r>
      <w:r w:rsidR="00D766BB" w:rsidRPr="006E739B">
        <w:rPr>
          <w:b/>
          <w:sz w:val="24"/>
          <w:szCs w:val="24"/>
        </w:rPr>
        <w:t>:</w:t>
      </w:r>
      <w:r w:rsidR="00D766BB">
        <w:rPr>
          <w:sz w:val="24"/>
          <w:szCs w:val="24"/>
        </w:rPr>
        <w:t xml:space="preserve">   Recent evidence although sparse indicate t</w:t>
      </w:r>
      <w:r w:rsidR="001340F4" w:rsidRPr="00620A8A">
        <w:rPr>
          <w:sz w:val="24"/>
          <w:szCs w:val="24"/>
        </w:rPr>
        <w:t>here is high prevalence of BPH and PC in Africans</w:t>
      </w:r>
      <w:r w:rsidR="003F0151">
        <w:rPr>
          <w:sz w:val="24"/>
          <w:szCs w:val="24"/>
        </w:rPr>
        <w:t xml:space="preserve"> and men of African descent in d</w:t>
      </w:r>
      <w:r w:rsidR="001340F4" w:rsidRPr="00620A8A">
        <w:rPr>
          <w:sz w:val="24"/>
          <w:szCs w:val="24"/>
        </w:rPr>
        <w:t>iaspora, the low prevalence</w:t>
      </w:r>
      <w:r w:rsidR="00D766BB">
        <w:rPr>
          <w:sz w:val="24"/>
          <w:szCs w:val="24"/>
        </w:rPr>
        <w:t xml:space="preserve"> of BPH and PC</w:t>
      </w:r>
      <w:r w:rsidR="001340F4" w:rsidRPr="00620A8A">
        <w:rPr>
          <w:sz w:val="24"/>
          <w:szCs w:val="24"/>
        </w:rPr>
        <w:t xml:space="preserve"> reported</w:t>
      </w:r>
      <w:r w:rsidR="003F0151">
        <w:rPr>
          <w:sz w:val="24"/>
          <w:szCs w:val="24"/>
        </w:rPr>
        <w:t xml:space="preserve"> from some African countries is</w:t>
      </w:r>
      <w:r w:rsidR="00023E1D">
        <w:rPr>
          <w:sz w:val="24"/>
          <w:szCs w:val="24"/>
        </w:rPr>
        <w:t xml:space="preserve"> likely</w:t>
      </w:r>
      <w:r w:rsidR="001340F4" w:rsidRPr="00620A8A">
        <w:rPr>
          <w:sz w:val="24"/>
          <w:szCs w:val="24"/>
        </w:rPr>
        <w:t xml:space="preserve"> to under reporting and future prevalence studies </w:t>
      </w:r>
      <w:r w:rsidR="00207FD1">
        <w:rPr>
          <w:sz w:val="24"/>
          <w:szCs w:val="24"/>
        </w:rPr>
        <w:t xml:space="preserve">both in the living and deceased </w:t>
      </w:r>
      <w:r w:rsidR="001340F4" w:rsidRPr="00620A8A">
        <w:rPr>
          <w:sz w:val="24"/>
          <w:szCs w:val="24"/>
        </w:rPr>
        <w:t xml:space="preserve">are </w:t>
      </w:r>
      <w:r w:rsidR="00CD0233" w:rsidRPr="00620A8A">
        <w:rPr>
          <w:sz w:val="24"/>
          <w:szCs w:val="24"/>
        </w:rPr>
        <w:t>recommended</w:t>
      </w:r>
      <w:r w:rsidR="001340F4" w:rsidRPr="00620A8A">
        <w:rPr>
          <w:sz w:val="24"/>
          <w:szCs w:val="24"/>
        </w:rPr>
        <w:t xml:space="preserve"> </w:t>
      </w:r>
      <w:r w:rsidR="00207FD1">
        <w:rPr>
          <w:sz w:val="24"/>
          <w:szCs w:val="24"/>
        </w:rPr>
        <w:t>to reveal the true prevalen</w:t>
      </w:r>
      <w:r w:rsidR="00023E1D">
        <w:rPr>
          <w:sz w:val="24"/>
          <w:szCs w:val="24"/>
        </w:rPr>
        <w:t>ce of BPH and PC in Africans though</w:t>
      </w:r>
      <w:r w:rsidR="00207FD1">
        <w:rPr>
          <w:sz w:val="24"/>
          <w:szCs w:val="24"/>
        </w:rPr>
        <w:t xml:space="preserve"> screening for PC in the living remains controversial.</w:t>
      </w:r>
    </w:p>
    <w:p w:rsidR="001340F4" w:rsidRDefault="001340F4" w:rsidP="004666DD">
      <w:pPr>
        <w:spacing w:after="0" w:line="480" w:lineRule="auto"/>
        <w:rPr>
          <w:sz w:val="24"/>
          <w:szCs w:val="24"/>
        </w:rPr>
      </w:pPr>
      <w:r w:rsidRPr="006E739B">
        <w:rPr>
          <w:b/>
          <w:sz w:val="24"/>
          <w:szCs w:val="24"/>
        </w:rPr>
        <w:t>KEY WORDS</w:t>
      </w:r>
      <w:r w:rsidR="006E739B">
        <w:rPr>
          <w:b/>
          <w:sz w:val="24"/>
          <w:szCs w:val="24"/>
        </w:rPr>
        <w:t xml:space="preserve">: </w:t>
      </w:r>
      <w:r w:rsidR="006D78F7">
        <w:rPr>
          <w:sz w:val="24"/>
          <w:szCs w:val="24"/>
        </w:rPr>
        <w:t>Benign prostatic hyperplasia, Prostate cancer, Prevalence</w:t>
      </w:r>
      <w:r w:rsidR="00015DC0">
        <w:rPr>
          <w:sz w:val="24"/>
          <w:szCs w:val="24"/>
        </w:rPr>
        <w:t>, I</w:t>
      </w:r>
      <w:r w:rsidR="006D78F7">
        <w:rPr>
          <w:sz w:val="24"/>
          <w:szCs w:val="24"/>
        </w:rPr>
        <w:t>ncidence, P</w:t>
      </w:r>
      <w:r w:rsidRPr="00620A8A">
        <w:rPr>
          <w:sz w:val="24"/>
          <w:szCs w:val="24"/>
        </w:rPr>
        <w:t>opulation, Africa, Africa</w:t>
      </w:r>
      <w:r w:rsidR="00015DC0">
        <w:rPr>
          <w:sz w:val="24"/>
          <w:szCs w:val="24"/>
        </w:rPr>
        <w:t>ns, Africans in the d</w:t>
      </w:r>
      <w:r w:rsidR="00824329">
        <w:rPr>
          <w:sz w:val="24"/>
          <w:szCs w:val="24"/>
        </w:rPr>
        <w:t>iaspora, other r</w:t>
      </w:r>
      <w:r w:rsidRPr="00620A8A">
        <w:rPr>
          <w:sz w:val="24"/>
          <w:szCs w:val="24"/>
        </w:rPr>
        <w:t>aces</w:t>
      </w:r>
      <w:r w:rsidR="00527021">
        <w:rPr>
          <w:sz w:val="24"/>
          <w:szCs w:val="24"/>
        </w:rPr>
        <w:t>.</w:t>
      </w:r>
    </w:p>
    <w:p w:rsidR="00527021" w:rsidRDefault="00527021" w:rsidP="004666DD">
      <w:pPr>
        <w:spacing w:after="0" w:line="480" w:lineRule="auto"/>
        <w:rPr>
          <w:sz w:val="24"/>
          <w:szCs w:val="24"/>
        </w:rPr>
      </w:pPr>
    </w:p>
    <w:p w:rsidR="00527021" w:rsidRDefault="00527021" w:rsidP="00527021">
      <w:pPr>
        <w:rPr>
          <w:b/>
          <w:sz w:val="24"/>
          <w:szCs w:val="24"/>
        </w:rPr>
      </w:pPr>
      <w:r>
        <w:rPr>
          <w:b/>
          <w:sz w:val="24"/>
          <w:szCs w:val="24"/>
        </w:rPr>
        <w:t>ABSTRAIT</w:t>
      </w:r>
    </w:p>
    <w:p w:rsidR="00527021" w:rsidRDefault="00527021" w:rsidP="00527021">
      <w:pPr>
        <w:spacing w:line="480" w:lineRule="auto"/>
        <w:rPr>
          <w:sz w:val="24"/>
          <w:szCs w:val="24"/>
        </w:rPr>
      </w:pPr>
      <w:r>
        <w:rPr>
          <w:b/>
          <w:sz w:val="24"/>
          <w:szCs w:val="24"/>
        </w:rPr>
        <w:t>Contexte :</w:t>
      </w:r>
      <w:r>
        <w:rPr>
          <w:sz w:val="24"/>
          <w:szCs w:val="24"/>
        </w:rPr>
        <w:t xml:space="preserve">   Il y avait plusieurs publications portant sur la population ou la prévalence de bénigne prostatique  hyperplasie communautaire et le cancer de la prostate des pays variés et les races mais peu de rapport de la part  d’Afrique portant sur les africains. </w:t>
      </w:r>
    </w:p>
    <w:p w:rsidR="00527021" w:rsidRDefault="00527021" w:rsidP="00527021">
      <w:pPr>
        <w:spacing w:line="480" w:lineRule="auto"/>
        <w:rPr>
          <w:sz w:val="24"/>
          <w:szCs w:val="24"/>
        </w:rPr>
      </w:pPr>
      <w:r>
        <w:rPr>
          <w:b/>
          <w:sz w:val="24"/>
          <w:szCs w:val="24"/>
        </w:rPr>
        <w:t xml:space="preserve">But: Une revue sur la prévalence de </w:t>
      </w:r>
      <w:r>
        <w:rPr>
          <w:sz w:val="24"/>
          <w:szCs w:val="24"/>
        </w:rPr>
        <w:t xml:space="preserve">bénigne prostatique hyperplasie et cancer de la prostate chez les africains et d'autres </w:t>
      </w:r>
      <w:proofErr w:type="gramStart"/>
      <w:r>
        <w:rPr>
          <w:sz w:val="24"/>
          <w:szCs w:val="24"/>
        </w:rPr>
        <w:t>races .</w:t>
      </w:r>
      <w:proofErr w:type="gramEnd"/>
    </w:p>
    <w:p w:rsidR="00527021" w:rsidRDefault="00527021" w:rsidP="00527021">
      <w:pPr>
        <w:spacing w:line="480" w:lineRule="auto"/>
        <w:rPr>
          <w:sz w:val="24"/>
          <w:szCs w:val="24"/>
        </w:rPr>
      </w:pPr>
      <w:r>
        <w:rPr>
          <w:b/>
          <w:sz w:val="24"/>
          <w:szCs w:val="24"/>
        </w:rPr>
        <w:lastRenderedPageBreak/>
        <w:t>Méthodologie: La</w:t>
      </w:r>
      <w:r>
        <w:rPr>
          <w:sz w:val="24"/>
          <w:szCs w:val="24"/>
        </w:rPr>
        <w:t xml:space="preserve"> littérature actuel sur la prévalence de Bénigne prostatique hyperplasie (BPH)</w:t>
      </w:r>
      <w:proofErr w:type="gramStart"/>
      <w:r>
        <w:rPr>
          <w:sz w:val="24"/>
          <w:szCs w:val="24"/>
        </w:rPr>
        <w:t>,cancer</w:t>
      </w:r>
      <w:proofErr w:type="gramEnd"/>
      <w:r>
        <w:rPr>
          <w:sz w:val="24"/>
          <w:szCs w:val="24"/>
        </w:rPr>
        <w:t xml:space="preserve"> de la prostate  (PC), et bénigne prostatic hyperplasie co-existant avec le cancer de la prostate chez les Africains et d'autres races a été revue.</w:t>
      </w:r>
    </w:p>
    <w:p w:rsidR="00527021" w:rsidRDefault="00527021" w:rsidP="00527021">
      <w:pPr>
        <w:spacing w:after="0" w:line="480" w:lineRule="auto"/>
        <w:rPr>
          <w:sz w:val="24"/>
          <w:szCs w:val="24"/>
        </w:rPr>
      </w:pPr>
      <w:r>
        <w:rPr>
          <w:b/>
          <w:sz w:val="24"/>
          <w:szCs w:val="24"/>
        </w:rPr>
        <w:t>Résultats:</w:t>
      </w:r>
      <w:r>
        <w:rPr>
          <w:sz w:val="24"/>
          <w:szCs w:val="24"/>
        </w:rPr>
        <w:t xml:space="preserve"> La prévalence </w:t>
      </w:r>
      <w:proofErr w:type="gramStart"/>
      <w:r>
        <w:rPr>
          <w:sz w:val="24"/>
          <w:szCs w:val="24"/>
        </w:rPr>
        <w:t>de  Bénigne</w:t>
      </w:r>
      <w:proofErr w:type="gramEnd"/>
      <w:r>
        <w:rPr>
          <w:sz w:val="24"/>
          <w:szCs w:val="24"/>
        </w:rPr>
        <w:t xml:space="preserve"> prostatique hyperplasie (BPH) au Ghana est responsable pour  60% de la retention forte d’urine et  28.6% de  haematuria.  La prévalence mondiale de BPH varie de  20% à 62% chez les hommes plus de 50 ans et cela inclus  les états unis, le royaume uni ,le japon et le Ghana.  Les rapport de l'Afrique de sud </w:t>
      </w:r>
      <w:proofErr w:type="gramStart"/>
      <w:r>
        <w:rPr>
          <w:sz w:val="24"/>
          <w:szCs w:val="24"/>
        </w:rPr>
        <w:t>indiquent  la</w:t>
      </w:r>
      <w:proofErr w:type="gramEnd"/>
      <w:r>
        <w:rPr>
          <w:sz w:val="24"/>
          <w:szCs w:val="24"/>
        </w:rPr>
        <w:t xml:space="preserve"> prévalence de plus  de 50% parmi les adultes mâles de 60 ans.  </w:t>
      </w:r>
    </w:p>
    <w:p w:rsidR="00527021" w:rsidRDefault="00527021" w:rsidP="00527021">
      <w:pPr>
        <w:spacing w:after="0" w:line="480" w:lineRule="auto"/>
        <w:rPr>
          <w:sz w:val="24"/>
          <w:szCs w:val="24"/>
        </w:rPr>
      </w:pPr>
      <w:r>
        <w:rPr>
          <w:sz w:val="24"/>
          <w:szCs w:val="24"/>
          <w:u w:val="single"/>
        </w:rPr>
        <w:t>BPH co-existant avec  CP</w:t>
      </w:r>
      <w:r>
        <w:rPr>
          <w:sz w:val="24"/>
          <w:szCs w:val="24"/>
        </w:rPr>
        <w:t xml:space="preserve">– les rapports de la part des états unis, le royaume uni ,le japon et le Ghana révèlent de l'association modérer de  BPH et PC.  La co-existence de CP chez </w:t>
      </w:r>
      <w:proofErr w:type="gramStart"/>
      <w:r>
        <w:rPr>
          <w:sz w:val="24"/>
          <w:szCs w:val="24"/>
        </w:rPr>
        <w:t>les  patients</w:t>
      </w:r>
      <w:proofErr w:type="gramEnd"/>
      <w:r>
        <w:rPr>
          <w:sz w:val="24"/>
          <w:szCs w:val="24"/>
        </w:rPr>
        <w:t xml:space="preserve"> suivant le traitement pour  BPH est 3 – 20% </w:t>
      </w:r>
    </w:p>
    <w:p w:rsidR="00527021" w:rsidRDefault="00527021" w:rsidP="00527021">
      <w:pPr>
        <w:spacing w:after="0" w:line="480" w:lineRule="auto"/>
        <w:rPr>
          <w:sz w:val="24"/>
          <w:szCs w:val="24"/>
        </w:rPr>
      </w:pPr>
      <w:r>
        <w:rPr>
          <w:sz w:val="24"/>
          <w:szCs w:val="24"/>
          <w:u w:val="single"/>
        </w:rPr>
        <w:t>La prévalence de cancer prostrate , il y a une haute prévalence aux Etats-Unis</w:t>
      </w:r>
      <w:r>
        <w:rPr>
          <w:sz w:val="24"/>
          <w:szCs w:val="24"/>
        </w:rPr>
        <w:t xml:space="preserve"> , aux pays Scandinavie, Afro-Americain (AA) et les Caraïbes noirs, Ghana, Trinité &amp; Tobago ont rapporté une haute prévalence de  6 –10% chez les hommes âgé de 50 ans et plus mais d'autres ont rapporté une prévalence faible chez les Africains de l'Afrique. Le bas rapport de l'Afrique de 10 – 40:100,000 est attribué au sous rapport , l'absence de la dépistage PSA , la manque de registre de cancer fiables et les pauvres facilités médicales .Le coût économique de </w:t>
      </w:r>
      <w:r>
        <w:rPr>
          <w:sz w:val="24"/>
          <w:szCs w:val="24"/>
          <w:u w:val="single"/>
        </w:rPr>
        <w:t xml:space="preserve"> BPH et PC:</w:t>
      </w:r>
      <w:r>
        <w:rPr>
          <w:sz w:val="24"/>
          <w:szCs w:val="24"/>
        </w:rPr>
        <w:t xml:space="preserve"> Le  BPH AU coût national direct est estimé environ  U$4Billion et le coût  individuel de US$1536 annuel.  Au Ghana, le cout individuel pour les medicaments varie BPH de  US$300 – 550 par ans et le coût pour la prostatectomie /TURP sont estimée à US$1100.Pour le cancer</w:t>
      </w:r>
      <w:r>
        <w:rPr>
          <w:sz w:val="24"/>
          <w:szCs w:val="24"/>
          <w:vertAlign w:val="superscript"/>
        </w:rPr>
        <w:t xml:space="preserve"> </w:t>
      </w:r>
      <w:r>
        <w:rPr>
          <w:sz w:val="24"/>
          <w:szCs w:val="24"/>
        </w:rPr>
        <w:t xml:space="preserve"> prostate, le coût individuel direct d' Europe varie de 6,575 – 12,000 euros, £2818.00 UK et plus de U$12,000 – 20,000 aux Etats-Unis par ans .Au  </w:t>
      </w:r>
      <w:r>
        <w:rPr>
          <w:sz w:val="24"/>
          <w:szCs w:val="24"/>
          <w:vertAlign w:val="superscript"/>
        </w:rPr>
        <w:t xml:space="preserve"> </w:t>
      </w:r>
      <w:r>
        <w:rPr>
          <w:sz w:val="24"/>
          <w:szCs w:val="24"/>
        </w:rPr>
        <w:t xml:space="preserve">Ghana,le coût par individuel direct varie pour la </w:t>
      </w:r>
      <w:r>
        <w:rPr>
          <w:sz w:val="24"/>
          <w:szCs w:val="24"/>
        </w:rPr>
        <w:lastRenderedPageBreak/>
        <w:t>prostatectomie radicale ,la radiothérapie externe US$1250 – 1500, pour le brachytherapie 9,000 Euros, pour la thérapie hormonale US$1600 – 3200) par ans US$510 pour l’orchidectomie.</w:t>
      </w:r>
    </w:p>
    <w:p w:rsidR="00527021" w:rsidRDefault="00527021" w:rsidP="00527021">
      <w:pPr>
        <w:spacing w:after="0" w:line="480" w:lineRule="auto"/>
        <w:rPr>
          <w:sz w:val="24"/>
          <w:szCs w:val="24"/>
          <w:u w:val="single"/>
        </w:rPr>
      </w:pPr>
    </w:p>
    <w:p w:rsidR="00527021" w:rsidRDefault="00527021" w:rsidP="00527021">
      <w:pPr>
        <w:spacing w:line="480" w:lineRule="auto"/>
        <w:rPr>
          <w:sz w:val="24"/>
          <w:szCs w:val="24"/>
          <w:u w:val="single"/>
        </w:rPr>
      </w:pPr>
      <w:r>
        <w:rPr>
          <w:b/>
          <w:sz w:val="24"/>
          <w:szCs w:val="24"/>
        </w:rPr>
        <w:t>Conclusion:</w:t>
      </w:r>
      <w:r>
        <w:rPr>
          <w:sz w:val="24"/>
          <w:szCs w:val="24"/>
        </w:rPr>
        <w:t xml:space="preserve"> Evidence  recent bien que peu although indique qu'il y a une haute  prévalence de BPH et  PC chez les  Africains et les hommes de l ' origin Africain  en diaspora,la  prévalence bas de BPH et PC des rapportage de quelques pays Africains a probablement fait de rapport insuffisant et l'étude prévalence futur dans les cas des être vivants et décédé sont recommandé pour révéler la vrai prévalence de  BPH et PC parmi les Africains par la despitage pour le  PC chez les être vivants reste controversial.</w:t>
      </w:r>
    </w:p>
    <w:p w:rsidR="00527021" w:rsidRDefault="00527021" w:rsidP="00527021">
      <w:pPr>
        <w:spacing w:after="0" w:line="480" w:lineRule="auto"/>
        <w:rPr>
          <w:b/>
          <w:sz w:val="24"/>
          <w:szCs w:val="24"/>
        </w:rPr>
      </w:pPr>
      <w:r>
        <w:rPr>
          <w:b/>
          <w:sz w:val="24"/>
          <w:szCs w:val="24"/>
        </w:rPr>
        <w:t xml:space="preserve">MOTS CLES : </w:t>
      </w:r>
      <w:r w:rsidRPr="00527021">
        <w:rPr>
          <w:sz w:val="24"/>
          <w:szCs w:val="24"/>
        </w:rPr>
        <w:t>Le Bénigne</w:t>
      </w:r>
      <w:r>
        <w:rPr>
          <w:sz w:val="24"/>
          <w:szCs w:val="24"/>
        </w:rPr>
        <w:t xml:space="preserve"> prostatique hyperplasie, Cancer de la prostrate , Prévalence, Incidence, Population, Afrique, Africains, Les Africains dans la diaspora, D'autres races.</w:t>
      </w:r>
    </w:p>
    <w:p w:rsidR="00527021" w:rsidRDefault="00527021" w:rsidP="00527021">
      <w:pPr>
        <w:spacing w:line="480" w:lineRule="auto"/>
        <w:rPr>
          <w:rFonts w:eastAsia="Times New Roman" w:cs="Arial"/>
          <w:bCs/>
          <w:color w:val="000000"/>
          <w:sz w:val="24"/>
          <w:szCs w:val="24"/>
          <w:u w:val="single"/>
        </w:rPr>
      </w:pPr>
    </w:p>
    <w:p w:rsidR="00527021" w:rsidRPr="006E739B" w:rsidRDefault="00527021" w:rsidP="004666DD">
      <w:pPr>
        <w:spacing w:after="0" w:line="480" w:lineRule="auto"/>
        <w:rPr>
          <w:b/>
          <w:sz w:val="24"/>
          <w:szCs w:val="24"/>
        </w:rPr>
      </w:pPr>
    </w:p>
    <w:p w:rsidR="004666DD" w:rsidRDefault="004666DD" w:rsidP="004666DD">
      <w:pPr>
        <w:spacing w:line="480" w:lineRule="auto"/>
        <w:rPr>
          <w:rFonts w:eastAsia="Times New Roman" w:cs="Arial"/>
          <w:bCs/>
          <w:color w:val="000000"/>
          <w:sz w:val="24"/>
          <w:szCs w:val="24"/>
          <w:u w:val="single"/>
        </w:rPr>
      </w:pPr>
    </w:p>
    <w:p w:rsidR="004666DD" w:rsidRDefault="004666DD" w:rsidP="004666DD">
      <w:pPr>
        <w:spacing w:line="480" w:lineRule="auto"/>
        <w:rPr>
          <w:rFonts w:eastAsia="Times New Roman" w:cs="Arial"/>
          <w:bCs/>
          <w:color w:val="000000"/>
          <w:sz w:val="24"/>
          <w:szCs w:val="24"/>
          <w:u w:val="single"/>
        </w:rPr>
      </w:pPr>
    </w:p>
    <w:p w:rsidR="00A940BA" w:rsidRPr="00A940BA" w:rsidRDefault="00A940BA" w:rsidP="004666DD">
      <w:pPr>
        <w:spacing w:line="480" w:lineRule="auto"/>
        <w:rPr>
          <w:rFonts w:eastAsia="Times New Roman" w:cs="Arial"/>
          <w:b/>
          <w:bCs/>
          <w:color w:val="000000"/>
          <w:sz w:val="24"/>
          <w:szCs w:val="24"/>
        </w:rPr>
      </w:pPr>
      <w:r>
        <w:rPr>
          <w:rFonts w:eastAsia="Times New Roman" w:cs="Arial"/>
          <w:b/>
          <w:bCs/>
          <w:color w:val="000000"/>
          <w:sz w:val="24"/>
          <w:szCs w:val="24"/>
        </w:rPr>
        <w:t>INTRODUCTION</w:t>
      </w:r>
    </w:p>
    <w:p w:rsidR="00620A8A" w:rsidRPr="005B5BC8" w:rsidRDefault="00620A8A" w:rsidP="004666DD">
      <w:pPr>
        <w:spacing w:line="480" w:lineRule="auto"/>
        <w:rPr>
          <w:rFonts w:eastAsia="Times New Roman" w:cs="Arial"/>
          <w:bCs/>
          <w:color w:val="000000"/>
          <w:sz w:val="24"/>
          <w:szCs w:val="24"/>
        </w:rPr>
      </w:pPr>
      <w:r>
        <w:rPr>
          <w:rFonts w:eastAsia="Times New Roman" w:cs="Arial"/>
          <w:bCs/>
          <w:color w:val="000000"/>
          <w:sz w:val="24"/>
          <w:szCs w:val="24"/>
        </w:rPr>
        <w:t>The morphological anatomy of the prostate gland has been established</w:t>
      </w:r>
      <w:r w:rsidRPr="00A30DC5">
        <w:rPr>
          <w:rFonts w:eastAsia="Times New Roman" w:cs="Arial"/>
          <w:bCs/>
          <w:color w:val="000000"/>
          <w:sz w:val="24"/>
          <w:szCs w:val="24"/>
          <w:vertAlign w:val="superscript"/>
        </w:rPr>
        <w:t>1, 2</w:t>
      </w:r>
      <w:r w:rsidR="002404C6">
        <w:rPr>
          <w:rFonts w:eastAsia="Times New Roman" w:cs="Arial"/>
          <w:bCs/>
          <w:color w:val="000000"/>
          <w:sz w:val="24"/>
          <w:szCs w:val="24"/>
        </w:rPr>
        <w:t>. They are the peripheral zone (PZ), transitional zone (TZ), central z</w:t>
      </w:r>
      <w:r>
        <w:rPr>
          <w:rFonts w:eastAsia="Times New Roman" w:cs="Arial"/>
          <w:bCs/>
          <w:color w:val="000000"/>
          <w:sz w:val="24"/>
          <w:szCs w:val="24"/>
        </w:rPr>
        <w:t>one (CZ), the anterior fibromuscular area and the pre prostatic area.  The contribution</w:t>
      </w:r>
      <w:r w:rsidR="002404C6">
        <w:rPr>
          <w:rFonts w:eastAsia="Times New Roman" w:cs="Arial"/>
          <w:bCs/>
          <w:color w:val="000000"/>
          <w:sz w:val="24"/>
          <w:szCs w:val="24"/>
        </w:rPr>
        <w:t>s of zonal areas in a</w:t>
      </w:r>
      <w:r>
        <w:rPr>
          <w:rFonts w:eastAsia="Times New Roman" w:cs="Arial"/>
          <w:bCs/>
          <w:color w:val="000000"/>
          <w:sz w:val="24"/>
          <w:szCs w:val="24"/>
        </w:rPr>
        <w:t xml:space="preserve"> normal gland are PZ 70 – 80%, </w:t>
      </w:r>
      <w:r>
        <w:rPr>
          <w:rFonts w:eastAsia="Times New Roman" w:cs="Arial"/>
          <w:bCs/>
          <w:color w:val="000000"/>
          <w:sz w:val="24"/>
          <w:szCs w:val="24"/>
        </w:rPr>
        <w:lastRenderedPageBreak/>
        <w:t xml:space="preserve">TZ 10%, </w:t>
      </w:r>
      <w:proofErr w:type="gramStart"/>
      <w:r>
        <w:rPr>
          <w:rFonts w:eastAsia="Times New Roman" w:cs="Arial"/>
          <w:bCs/>
          <w:color w:val="000000"/>
          <w:sz w:val="24"/>
          <w:szCs w:val="24"/>
        </w:rPr>
        <w:t>CZ</w:t>
      </w:r>
      <w:proofErr w:type="gramEnd"/>
      <w:r>
        <w:rPr>
          <w:rFonts w:eastAsia="Times New Roman" w:cs="Arial"/>
          <w:bCs/>
          <w:color w:val="000000"/>
          <w:sz w:val="24"/>
          <w:szCs w:val="24"/>
        </w:rPr>
        <w:t xml:space="preserve"> 20%.  In benign prostatic hyperplasia/hypertrophy/e</w:t>
      </w:r>
      <w:r w:rsidR="002404C6">
        <w:rPr>
          <w:rFonts w:eastAsia="Times New Roman" w:cs="Arial"/>
          <w:bCs/>
          <w:color w:val="000000"/>
          <w:sz w:val="24"/>
          <w:szCs w:val="24"/>
        </w:rPr>
        <w:t>nlargement (BPH/BPE), only the transitional z</w:t>
      </w:r>
      <w:r>
        <w:rPr>
          <w:rFonts w:eastAsia="Times New Roman" w:cs="Arial"/>
          <w:bCs/>
          <w:color w:val="000000"/>
          <w:sz w:val="24"/>
          <w:szCs w:val="24"/>
        </w:rPr>
        <w:t xml:space="preserve">one is affected and constitutes 100% of BPH.  In </w:t>
      </w:r>
      <w:r w:rsidR="002404C6">
        <w:rPr>
          <w:rFonts w:eastAsia="Times New Roman" w:cs="Arial"/>
          <w:bCs/>
          <w:color w:val="000000"/>
          <w:sz w:val="24"/>
          <w:szCs w:val="24"/>
        </w:rPr>
        <w:t xml:space="preserve">the </w:t>
      </w:r>
      <w:r>
        <w:rPr>
          <w:rFonts w:eastAsia="Times New Roman" w:cs="Arial"/>
          <w:bCs/>
          <w:color w:val="000000"/>
          <w:sz w:val="24"/>
          <w:szCs w:val="24"/>
        </w:rPr>
        <w:t>development of prostate carcinoma (PC)</w:t>
      </w:r>
      <w:proofErr w:type="gramStart"/>
      <w:r w:rsidR="002404C6">
        <w:rPr>
          <w:rFonts w:eastAsia="Times New Roman" w:cs="Arial"/>
          <w:bCs/>
          <w:color w:val="000000"/>
          <w:sz w:val="24"/>
          <w:szCs w:val="24"/>
        </w:rPr>
        <w:t>,  more</w:t>
      </w:r>
      <w:proofErr w:type="gramEnd"/>
      <w:r w:rsidR="002404C6">
        <w:rPr>
          <w:rFonts w:eastAsia="Times New Roman" w:cs="Arial"/>
          <w:bCs/>
          <w:color w:val="000000"/>
          <w:sz w:val="24"/>
          <w:szCs w:val="24"/>
        </w:rPr>
        <w:t xml:space="preserve"> than </w:t>
      </w:r>
      <w:r>
        <w:rPr>
          <w:rFonts w:eastAsia="Times New Roman" w:cs="Arial"/>
          <w:bCs/>
          <w:color w:val="000000"/>
          <w:sz w:val="24"/>
          <w:szCs w:val="24"/>
        </w:rPr>
        <w:t>70% arise from the PZ that is the outer part of the gland,   TZ account for 20% and CZ 10%, Table 1</w:t>
      </w:r>
      <w:r w:rsidR="009F3BAA" w:rsidRPr="009F3BAA">
        <w:rPr>
          <w:rFonts w:eastAsia="Times New Roman" w:cs="Arial"/>
          <w:bCs/>
          <w:color w:val="000000"/>
          <w:sz w:val="24"/>
          <w:szCs w:val="24"/>
          <w:vertAlign w:val="superscript"/>
        </w:rPr>
        <w:t>1, 2</w:t>
      </w:r>
      <w:r w:rsidR="002404C6">
        <w:rPr>
          <w:rFonts w:eastAsia="Times New Roman" w:cs="Arial"/>
          <w:bCs/>
          <w:color w:val="000000"/>
          <w:sz w:val="24"/>
          <w:szCs w:val="24"/>
        </w:rPr>
        <w:t>.</w:t>
      </w:r>
      <w:r>
        <w:rPr>
          <w:rFonts w:eastAsia="Times New Roman" w:cs="Arial"/>
          <w:bCs/>
          <w:color w:val="000000"/>
          <w:sz w:val="24"/>
          <w:szCs w:val="24"/>
        </w:rPr>
        <w:t xml:space="preserve">  Prostatitis affects mainly the PZ.  Because the PZ</w:t>
      </w:r>
      <w:r w:rsidR="009F3BAA">
        <w:rPr>
          <w:rFonts w:eastAsia="Times New Roman" w:cs="Arial"/>
          <w:bCs/>
          <w:color w:val="000000"/>
          <w:sz w:val="24"/>
          <w:szCs w:val="24"/>
        </w:rPr>
        <w:t xml:space="preserve"> is left behind after TURP/s</w:t>
      </w:r>
      <w:r>
        <w:rPr>
          <w:rFonts w:eastAsia="Times New Roman" w:cs="Arial"/>
          <w:bCs/>
          <w:color w:val="000000"/>
          <w:sz w:val="24"/>
          <w:szCs w:val="24"/>
        </w:rPr>
        <w:t>imple prostatectomy, patients after</w:t>
      </w:r>
      <w:r w:rsidR="002404C6">
        <w:rPr>
          <w:rFonts w:eastAsia="Times New Roman" w:cs="Arial"/>
          <w:bCs/>
          <w:color w:val="000000"/>
          <w:sz w:val="24"/>
          <w:szCs w:val="24"/>
        </w:rPr>
        <w:t xml:space="preserve"> these operations can develop prostate cancer</w:t>
      </w:r>
      <w:r w:rsidR="001E4B67">
        <w:rPr>
          <w:rFonts w:eastAsia="Times New Roman" w:cs="Arial"/>
          <w:bCs/>
          <w:color w:val="000000"/>
          <w:sz w:val="24"/>
          <w:szCs w:val="24"/>
        </w:rPr>
        <w:t xml:space="preserve"> in the PZ zone</w:t>
      </w:r>
      <w:r>
        <w:rPr>
          <w:rFonts w:eastAsia="Times New Roman" w:cs="Arial"/>
          <w:bCs/>
          <w:color w:val="000000"/>
          <w:sz w:val="24"/>
          <w:szCs w:val="24"/>
        </w:rPr>
        <w:t xml:space="preserve"> left behind.  Population based reports of the prevalence of BPH and prostate cancer varies with different geographical locations and races</w:t>
      </w:r>
      <w:r w:rsidR="007A4043" w:rsidRPr="007A4043">
        <w:rPr>
          <w:rFonts w:eastAsia="Times New Roman" w:cs="Arial"/>
          <w:bCs/>
          <w:color w:val="000000"/>
          <w:sz w:val="24"/>
          <w:szCs w:val="24"/>
          <w:vertAlign w:val="superscript"/>
        </w:rPr>
        <w:t>1, 2</w:t>
      </w:r>
      <w:r w:rsidR="001E4B67">
        <w:rPr>
          <w:rFonts w:eastAsia="Times New Roman" w:cs="Arial"/>
          <w:bCs/>
          <w:color w:val="000000"/>
          <w:sz w:val="24"/>
          <w:szCs w:val="24"/>
        </w:rPr>
        <w:t>.</w:t>
      </w:r>
      <w:r>
        <w:rPr>
          <w:rFonts w:eastAsia="Times New Roman" w:cs="Arial"/>
          <w:bCs/>
          <w:color w:val="000000"/>
          <w:sz w:val="24"/>
          <w:szCs w:val="24"/>
        </w:rPr>
        <w:t xml:space="preserve">  </w:t>
      </w:r>
    </w:p>
    <w:p w:rsidR="00620A8A" w:rsidRDefault="00620A8A" w:rsidP="004666DD">
      <w:pPr>
        <w:spacing w:after="0" w:line="480" w:lineRule="auto"/>
        <w:rPr>
          <w:rFonts w:eastAsia="Times New Roman" w:cs="Arial"/>
          <w:color w:val="000000"/>
          <w:sz w:val="24"/>
          <w:szCs w:val="24"/>
          <w:u w:val="single"/>
        </w:rPr>
      </w:pPr>
      <w:r>
        <w:rPr>
          <w:rFonts w:eastAsia="Times New Roman" w:cs="Arial"/>
          <w:color w:val="000000"/>
          <w:sz w:val="24"/>
          <w:szCs w:val="24"/>
          <w:u w:val="single"/>
        </w:rPr>
        <w:t xml:space="preserve">AIMS AND </w:t>
      </w:r>
      <w:r w:rsidRPr="00177FFC">
        <w:rPr>
          <w:rFonts w:eastAsia="Times New Roman" w:cs="Arial"/>
          <w:color w:val="000000"/>
          <w:sz w:val="24"/>
          <w:szCs w:val="24"/>
          <w:u w:val="single"/>
        </w:rPr>
        <w:t>OBJECTIVES:</w:t>
      </w:r>
    </w:p>
    <w:p w:rsidR="00620A8A" w:rsidRPr="003F6226" w:rsidRDefault="00620A8A" w:rsidP="004666DD">
      <w:pPr>
        <w:spacing w:after="0" w:line="480" w:lineRule="auto"/>
        <w:rPr>
          <w:rFonts w:eastAsia="Times New Roman" w:cs="Arial"/>
          <w:color w:val="000000"/>
          <w:sz w:val="24"/>
          <w:szCs w:val="24"/>
        </w:rPr>
      </w:pPr>
      <w:proofErr w:type="gramStart"/>
      <w:r w:rsidRPr="003F6226">
        <w:rPr>
          <w:rFonts w:eastAsia="Times New Roman" w:cs="Arial"/>
          <w:color w:val="000000"/>
          <w:sz w:val="24"/>
          <w:szCs w:val="24"/>
        </w:rPr>
        <w:t>BENIGN PROSTATIC HYPERPLASIA/HYPERTROPHY/ENLARGEMENT (BPH/BPE)</w:t>
      </w:r>
      <w:r w:rsidR="00607FF6">
        <w:rPr>
          <w:rFonts w:eastAsia="Times New Roman" w:cs="Arial"/>
          <w:color w:val="000000"/>
          <w:sz w:val="24"/>
          <w:szCs w:val="24"/>
        </w:rPr>
        <w:t xml:space="preserve"> – t</w:t>
      </w:r>
      <w:r w:rsidR="009F3BAA" w:rsidRPr="003F6226">
        <w:rPr>
          <w:rFonts w:eastAsia="Times New Roman" w:cs="Arial"/>
          <w:color w:val="000000"/>
          <w:sz w:val="24"/>
          <w:szCs w:val="24"/>
        </w:rPr>
        <w:t>o review</w:t>
      </w:r>
      <w:r w:rsidRPr="003F6226">
        <w:rPr>
          <w:rFonts w:eastAsia="Times New Roman" w:cs="Arial"/>
          <w:color w:val="000000"/>
          <w:sz w:val="24"/>
          <w:szCs w:val="24"/>
        </w:rPr>
        <w:t xml:space="preserve"> the</w:t>
      </w:r>
      <w:r w:rsidR="009F3BAA" w:rsidRPr="003F6226">
        <w:rPr>
          <w:rFonts w:eastAsia="Times New Roman" w:cs="Arial"/>
          <w:color w:val="000000"/>
          <w:sz w:val="24"/>
          <w:szCs w:val="24"/>
        </w:rPr>
        <w:t xml:space="preserve"> published work</w:t>
      </w:r>
      <w:r w:rsidRPr="003F6226">
        <w:rPr>
          <w:rFonts w:eastAsia="Times New Roman" w:cs="Arial"/>
          <w:color w:val="000000"/>
          <w:sz w:val="24"/>
          <w:szCs w:val="24"/>
        </w:rPr>
        <w:t xml:space="preserve"> prevalence of histological (fibromyo</w:t>
      </w:r>
      <w:r w:rsidR="003B05AD">
        <w:rPr>
          <w:rFonts w:eastAsia="Times New Roman" w:cs="Arial"/>
          <w:color w:val="000000"/>
          <w:sz w:val="24"/>
          <w:szCs w:val="24"/>
        </w:rPr>
        <w:t>a</w:t>
      </w:r>
      <w:r w:rsidRPr="003F6226">
        <w:rPr>
          <w:rFonts w:eastAsia="Times New Roman" w:cs="Arial"/>
          <w:color w:val="000000"/>
          <w:sz w:val="24"/>
          <w:szCs w:val="24"/>
        </w:rPr>
        <w:t xml:space="preserve">denoma) BPH in </w:t>
      </w:r>
      <w:r w:rsidR="00607FF6" w:rsidRPr="003F6226">
        <w:rPr>
          <w:rFonts w:eastAsia="Times New Roman" w:cs="Arial"/>
          <w:color w:val="000000"/>
          <w:sz w:val="24"/>
          <w:szCs w:val="24"/>
        </w:rPr>
        <w:t xml:space="preserve">autopsy </w:t>
      </w:r>
      <w:r w:rsidR="00607FF6">
        <w:rPr>
          <w:rFonts w:eastAsia="Times New Roman" w:cs="Arial"/>
          <w:color w:val="000000"/>
          <w:sz w:val="24"/>
          <w:szCs w:val="24"/>
        </w:rPr>
        <w:t xml:space="preserve">and </w:t>
      </w:r>
      <w:r w:rsidRPr="003F6226">
        <w:rPr>
          <w:rFonts w:eastAsia="Times New Roman" w:cs="Arial"/>
          <w:color w:val="000000"/>
          <w:sz w:val="24"/>
          <w:szCs w:val="24"/>
        </w:rPr>
        <w:t>clinical</w:t>
      </w:r>
      <w:r w:rsidR="00607FF6">
        <w:rPr>
          <w:rFonts w:eastAsia="Times New Roman" w:cs="Arial"/>
          <w:color w:val="000000"/>
          <w:sz w:val="24"/>
          <w:szCs w:val="24"/>
        </w:rPr>
        <w:t xml:space="preserve"> BPH/BPE </w:t>
      </w:r>
      <w:r w:rsidRPr="003F6226">
        <w:rPr>
          <w:rFonts w:eastAsia="Times New Roman" w:cs="Arial"/>
          <w:color w:val="000000"/>
          <w:sz w:val="24"/>
          <w:szCs w:val="24"/>
        </w:rPr>
        <w:t>cases in Africa and other races.</w:t>
      </w:r>
      <w:proofErr w:type="gramEnd"/>
      <w:r w:rsidRPr="003F6226">
        <w:rPr>
          <w:rFonts w:eastAsia="Times New Roman" w:cs="Arial"/>
          <w:color w:val="000000"/>
          <w:sz w:val="24"/>
          <w:szCs w:val="24"/>
        </w:rPr>
        <w:t xml:space="preserve">  In the living, there is no globally accepted definition of BPH/BPE so th</w:t>
      </w:r>
      <w:r w:rsidR="000A040D" w:rsidRPr="003F6226">
        <w:rPr>
          <w:rFonts w:eastAsia="Times New Roman" w:cs="Arial"/>
          <w:color w:val="000000"/>
          <w:sz w:val="24"/>
          <w:szCs w:val="24"/>
        </w:rPr>
        <w:t xml:space="preserve">e prevalence rates are reported </w:t>
      </w:r>
      <w:r w:rsidRPr="003F6226">
        <w:rPr>
          <w:rFonts w:eastAsia="Times New Roman" w:cs="Arial"/>
          <w:color w:val="000000"/>
          <w:sz w:val="24"/>
          <w:szCs w:val="24"/>
        </w:rPr>
        <w:t>by the definition chosen by the investigator</w:t>
      </w:r>
      <w:r w:rsidRPr="003F6226">
        <w:rPr>
          <w:rFonts w:eastAsia="Times New Roman" w:cs="Arial"/>
          <w:color w:val="000000"/>
          <w:sz w:val="24"/>
          <w:szCs w:val="24"/>
          <w:vertAlign w:val="superscript"/>
        </w:rPr>
        <w:t>3</w:t>
      </w:r>
      <w:proofErr w:type="gramStart"/>
      <w:r w:rsidRPr="003F6226">
        <w:rPr>
          <w:rFonts w:eastAsia="Times New Roman" w:cs="Arial"/>
          <w:color w:val="000000"/>
          <w:sz w:val="24"/>
          <w:szCs w:val="24"/>
          <w:vertAlign w:val="superscript"/>
        </w:rPr>
        <w:t>,4</w:t>
      </w:r>
      <w:proofErr w:type="gramEnd"/>
      <w:r w:rsidR="007A4043" w:rsidRPr="003F6226">
        <w:rPr>
          <w:rFonts w:eastAsia="Times New Roman" w:cs="Arial"/>
          <w:color w:val="000000"/>
          <w:sz w:val="24"/>
          <w:szCs w:val="24"/>
          <w:vertAlign w:val="superscript"/>
        </w:rPr>
        <w:t>, 5</w:t>
      </w:r>
      <w:r w:rsidR="003F6226">
        <w:rPr>
          <w:rFonts w:eastAsia="Times New Roman" w:cs="Arial"/>
          <w:color w:val="000000"/>
          <w:sz w:val="24"/>
          <w:szCs w:val="24"/>
        </w:rPr>
        <w:t>.  The</w:t>
      </w:r>
      <w:r w:rsidR="009F3BAA" w:rsidRPr="003F6226">
        <w:rPr>
          <w:rFonts w:eastAsia="Times New Roman" w:cs="Arial"/>
          <w:color w:val="000000"/>
          <w:sz w:val="24"/>
          <w:szCs w:val="24"/>
        </w:rPr>
        <w:t xml:space="preserve"> </w:t>
      </w:r>
      <w:r w:rsidRPr="003F6226">
        <w:rPr>
          <w:rFonts w:eastAsia="Times New Roman" w:cs="Arial"/>
          <w:color w:val="000000"/>
          <w:sz w:val="24"/>
          <w:szCs w:val="24"/>
        </w:rPr>
        <w:t xml:space="preserve">prevalence of clinical BPH/BPE </w:t>
      </w:r>
      <w:r w:rsidR="003F6226">
        <w:rPr>
          <w:rFonts w:eastAsia="Times New Roman" w:cs="Arial"/>
          <w:color w:val="000000"/>
          <w:sz w:val="24"/>
          <w:szCs w:val="24"/>
        </w:rPr>
        <w:t>may be</w:t>
      </w:r>
      <w:r w:rsidRPr="003F6226">
        <w:rPr>
          <w:rFonts w:eastAsia="Times New Roman" w:cs="Arial"/>
          <w:color w:val="000000"/>
          <w:sz w:val="24"/>
          <w:szCs w:val="24"/>
        </w:rPr>
        <w:t xml:space="preserve"> assessed by digital rectal examination (DRE) of the gland </w:t>
      </w:r>
      <w:r w:rsidR="00607FF6">
        <w:rPr>
          <w:rFonts w:eastAsia="Times New Roman" w:cs="Arial"/>
          <w:color w:val="000000"/>
          <w:sz w:val="24"/>
          <w:szCs w:val="24"/>
        </w:rPr>
        <w:t xml:space="preserve">showing </w:t>
      </w:r>
      <w:r w:rsidRPr="003F6226">
        <w:rPr>
          <w:rFonts w:eastAsia="Times New Roman" w:cs="Arial"/>
          <w:color w:val="000000"/>
          <w:sz w:val="24"/>
          <w:szCs w:val="24"/>
        </w:rPr>
        <w:t xml:space="preserve">features of rubbery enlarged prostate gland. </w:t>
      </w:r>
      <w:r w:rsidR="000A040D" w:rsidRPr="003F6226">
        <w:rPr>
          <w:rFonts w:eastAsia="Times New Roman" w:cs="Arial"/>
          <w:color w:val="000000"/>
          <w:sz w:val="24"/>
          <w:szCs w:val="24"/>
        </w:rPr>
        <w:t xml:space="preserve"> The size may be n</w:t>
      </w:r>
      <w:r w:rsidRPr="003F6226">
        <w:rPr>
          <w:rFonts w:eastAsia="Times New Roman" w:cs="Arial"/>
          <w:color w:val="000000"/>
          <w:sz w:val="24"/>
          <w:szCs w:val="24"/>
        </w:rPr>
        <w:t>ormal size mls/g, Grade 1&lt;20mls, Grade 2: 20</w:t>
      </w:r>
      <w:r w:rsidR="009F3BAA" w:rsidRPr="003F6226">
        <w:rPr>
          <w:rFonts w:eastAsia="Times New Roman" w:cs="Arial"/>
          <w:color w:val="000000"/>
          <w:sz w:val="24"/>
          <w:szCs w:val="24"/>
        </w:rPr>
        <w:t xml:space="preserve"> – </w:t>
      </w:r>
      <w:r w:rsidRPr="003F6226">
        <w:rPr>
          <w:rFonts w:eastAsia="Times New Roman" w:cs="Arial"/>
          <w:color w:val="000000"/>
          <w:sz w:val="24"/>
          <w:szCs w:val="24"/>
        </w:rPr>
        <w:t>29mls, Grade 3:</w:t>
      </w:r>
      <w:r w:rsidR="000A040D" w:rsidRPr="003F6226">
        <w:rPr>
          <w:rFonts w:eastAsia="Times New Roman" w:cs="Arial"/>
          <w:color w:val="000000"/>
          <w:sz w:val="24"/>
          <w:szCs w:val="24"/>
        </w:rPr>
        <w:t xml:space="preserve"> 30 </w:t>
      </w:r>
      <w:r w:rsidR="009F3BAA" w:rsidRPr="003F6226">
        <w:rPr>
          <w:rFonts w:eastAsia="Times New Roman" w:cs="Arial"/>
          <w:color w:val="000000"/>
          <w:sz w:val="24"/>
          <w:szCs w:val="24"/>
        </w:rPr>
        <w:t>&lt;49mls, Grade 4 ≥</w:t>
      </w:r>
      <w:r w:rsidR="000A040D" w:rsidRPr="003F6226">
        <w:rPr>
          <w:rFonts w:eastAsia="Times New Roman" w:cs="Arial"/>
          <w:color w:val="000000"/>
          <w:sz w:val="24"/>
          <w:szCs w:val="24"/>
        </w:rPr>
        <w:t>50mls e</w:t>
      </w:r>
      <w:r w:rsidR="00607FF6">
        <w:rPr>
          <w:rFonts w:eastAsia="Times New Roman" w:cs="Arial"/>
          <w:color w:val="000000"/>
          <w:sz w:val="24"/>
          <w:szCs w:val="24"/>
        </w:rPr>
        <w:t xml:space="preserve">nlargement.  The </w:t>
      </w:r>
      <w:r w:rsidRPr="003F6226">
        <w:rPr>
          <w:rFonts w:eastAsia="Times New Roman" w:cs="Arial"/>
          <w:color w:val="000000"/>
          <w:sz w:val="24"/>
          <w:szCs w:val="24"/>
        </w:rPr>
        <w:t xml:space="preserve">size </w:t>
      </w:r>
      <w:r w:rsidR="00607FF6">
        <w:rPr>
          <w:rFonts w:eastAsia="Times New Roman" w:cs="Arial"/>
          <w:color w:val="000000"/>
          <w:sz w:val="24"/>
          <w:szCs w:val="24"/>
        </w:rPr>
        <w:t>of the prostate gland can also be assessed</w:t>
      </w:r>
      <w:r w:rsidR="003F6226">
        <w:rPr>
          <w:rFonts w:eastAsia="Times New Roman" w:cs="Arial"/>
          <w:color w:val="000000"/>
          <w:sz w:val="24"/>
          <w:szCs w:val="24"/>
        </w:rPr>
        <w:t xml:space="preserve"> by </w:t>
      </w:r>
      <w:r w:rsidRPr="003F6226">
        <w:rPr>
          <w:rFonts w:eastAsia="Times New Roman" w:cs="Arial"/>
          <w:color w:val="000000"/>
          <w:sz w:val="24"/>
          <w:szCs w:val="24"/>
        </w:rPr>
        <w:t xml:space="preserve">transrectal ultrasound (TRUS) or </w:t>
      </w:r>
      <w:proofErr w:type="gramStart"/>
      <w:r w:rsidRPr="003F6226">
        <w:rPr>
          <w:rFonts w:eastAsia="Times New Roman" w:cs="Arial"/>
          <w:color w:val="000000"/>
          <w:sz w:val="24"/>
          <w:szCs w:val="24"/>
        </w:rPr>
        <w:t>trans</w:t>
      </w:r>
      <w:proofErr w:type="gramEnd"/>
      <w:r w:rsidRPr="003F6226">
        <w:rPr>
          <w:rFonts w:eastAsia="Times New Roman" w:cs="Arial"/>
          <w:color w:val="000000"/>
          <w:sz w:val="24"/>
          <w:szCs w:val="24"/>
        </w:rPr>
        <w:t xml:space="preserve"> abdominal </w:t>
      </w:r>
      <w:r w:rsidR="00607FF6">
        <w:rPr>
          <w:rFonts w:eastAsia="Times New Roman" w:cs="Arial"/>
          <w:color w:val="000000"/>
          <w:sz w:val="24"/>
          <w:szCs w:val="24"/>
        </w:rPr>
        <w:t xml:space="preserve">ultrasound </w:t>
      </w:r>
      <w:r w:rsidRPr="003F6226">
        <w:rPr>
          <w:rFonts w:eastAsia="Times New Roman" w:cs="Arial"/>
          <w:color w:val="000000"/>
          <w:sz w:val="24"/>
          <w:szCs w:val="24"/>
        </w:rPr>
        <w:t>(ABDUSG) Grade 1</w:t>
      </w:r>
      <w:r w:rsidR="003B05AD">
        <w:rPr>
          <w:rFonts w:eastAsia="Times New Roman" w:cs="Arial"/>
          <w:color w:val="000000"/>
          <w:sz w:val="24"/>
          <w:szCs w:val="24"/>
        </w:rPr>
        <w:t xml:space="preserve">: </w:t>
      </w:r>
      <w:r w:rsidRPr="003F6226">
        <w:rPr>
          <w:rFonts w:eastAsia="Times New Roman" w:cs="Arial"/>
          <w:color w:val="000000"/>
          <w:sz w:val="24"/>
          <w:szCs w:val="24"/>
        </w:rPr>
        <w:t xml:space="preserve"> &lt;20mls </w:t>
      </w:r>
      <w:r w:rsidR="003B05AD">
        <w:rPr>
          <w:rFonts w:eastAsia="Times New Roman" w:cs="Arial"/>
          <w:color w:val="000000"/>
          <w:sz w:val="24"/>
          <w:szCs w:val="24"/>
        </w:rPr>
        <w:t>(</w:t>
      </w:r>
      <w:r w:rsidRPr="003F6226">
        <w:rPr>
          <w:rFonts w:eastAsia="Times New Roman" w:cs="Arial"/>
          <w:color w:val="000000"/>
          <w:sz w:val="24"/>
          <w:szCs w:val="24"/>
        </w:rPr>
        <w:t>normal</w:t>
      </w:r>
      <w:r w:rsidR="003B05AD">
        <w:rPr>
          <w:rFonts w:eastAsia="Times New Roman" w:cs="Arial"/>
          <w:color w:val="000000"/>
          <w:sz w:val="24"/>
          <w:szCs w:val="24"/>
        </w:rPr>
        <w:t>)</w:t>
      </w:r>
      <w:r w:rsidRPr="003F6226">
        <w:rPr>
          <w:rFonts w:eastAsia="Times New Roman" w:cs="Arial"/>
          <w:color w:val="000000"/>
          <w:sz w:val="24"/>
          <w:szCs w:val="24"/>
        </w:rPr>
        <w:t xml:space="preserve">, </w:t>
      </w:r>
      <w:r w:rsidR="00607FF6" w:rsidRPr="003F6226">
        <w:rPr>
          <w:rFonts w:eastAsia="Times New Roman" w:cs="Arial"/>
          <w:color w:val="000000"/>
          <w:sz w:val="24"/>
          <w:szCs w:val="24"/>
        </w:rPr>
        <w:t>Grade 2</w:t>
      </w:r>
      <w:r w:rsidR="003B05AD">
        <w:rPr>
          <w:rFonts w:eastAsia="Times New Roman" w:cs="Arial"/>
          <w:color w:val="000000"/>
          <w:sz w:val="24"/>
          <w:szCs w:val="24"/>
        </w:rPr>
        <w:t>:</w:t>
      </w:r>
      <w:r w:rsidR="00607FF6">
        <w:rPr>
          <w:rFonts w:eastAsia="Times New Roman" w:cs="Arial"/>
          <w:color w:val="000000"/>
          <w:sz w:val="24"/>
          <w:szCs w:val="24"/>
        </w:rPr>
        <w:t xml:space="preserve"> </w:t>
      </w:r>
      <w:r w:rsidR="009F3BAA" w:rsidRPr="003F6226">
        <w:rPr>
          <w:rFonts w:eastAsia="Times New Roman" w:cs="Arial"/>
          <w:color w:val="000000"/>
          <w:sz w:val="24"/>
          <w:szCs w:val="24"/>
        </w:rPr>
        <w:t xml:space="preserve">21 </w:t>
      </w:r>
      <w:r w:rsidRPr="003F6226">
        <w:rPr>
          <w:rFonts w:eastAsia="Times New Roman" w:cs="Arial"/>
          <w:color w:val="000000"/>
          <w:sz w:val="24"/>
          <w:szCs w:val="24"/>
        </w:rPr>
        <w:t xml:space="preserve">– 29mls, </w:t>
      </w:r>
      <w:r w:rsidR="00607FF6" w:rsidRPr="003F6226">
        <w:rPr>
          <w:rFonts w:eastAsia="Times New Roman" w:cs="Arial"/>
          <w:color w:val="000000"/>
          <w:sz w:val="24"/>
          <w:szCs w:val="24"/>
        </w:rPr>
        <w:t>Grade 3</w:t>
      </w:r>
      <w:r w:rsidR="003B05AD">
        <w:rPr>
          <w:rFonts w:eastAsia="Times New Roman" w:cs="Arial"/>
          <w:color w:val="000000"/>
          <w:sz w:val="24"/>
          <w:szCs w:val="24"/>
        </w:rPr>
        <w:t>:</w:t>
      </w:r>
      <w:r w:rsidR="00607FF6" w:rsidRPr="003F6226">
        <w:rPr>
          <w:rFonts w:eastAsia="Times New Roman" w:cs="Arial"/>
          <w:color w:val="000000"/>
          <w:sz w:val="24"/>
          <w:szCs w:val="24"/>
        </w:rPr>
        <w:t xml:space="preserve"> </w:t>
      </w:r>
      <w:r w:rsidRPr="003F6226">
        <w:rPr>
          <w:rFonts w:eastAsia="Times New Roman" w:cs="Arial"/>
          <w:color w:val="000000"/>
          <w:sz w:val="24"/>
          <w:szCs w:val="24"/>
        </w:rPr>
        <w:t xml:space="preserve">30 – 49mls and </w:t>
      </w:r>
      <w:r w:rsidR="00607FF6" w:rsidRPr="003F6226">
        <w:rPr>
          <w:rFonts w:eastAsia="Times New Roman" w:cs="Arial"/>
          <w:color w:val="000000"/>
          <w:sz w:val="24"/>
          <w:szCs w:val="24"/>
        </w:rPr>
        <w:t>Grade 4</w:t>
      </w:r>
      <w:r w:rsidR="003B05AD">
        <w:rPr>
          <w:rFonts w:eastAsia="Times New Roman" w:cs="Arial"/>
          <w:color w:val="000000"/>
          <w:sz w:val="24"/>
          <w:szCs w:val="24"/>
        </w:rPr>
        <w:t>:</w:t>
      </w:r>
      <w:r w:rsidR="00607FF6">
        <w:rPr>
          <w:rFonts w:eastAsia="Times New Roman" w:cs="Arial"/>
          <w:color w:val="000000"/>
          <w:sz w:val="24"/>
          <w:szCs w:val="24"/>
        </w:rPr>
        <w:t xml:space="preserve"> </w:t>
      </w:r>
      <w:r w:rsidRPr="003F6226">
        <w:rPr>
          <w:rFonts w:eastAsia="Times New Roman" w:cs="Arial"/>
          <w:color w:val="000000"/>
          <w:sz w:val="24"/>
          <w:szCs w:val="24"/>
        </w:rPr>
        <w:t>≥50mls.  Prevalence studies can also be assessed by the degree of lower urinary tract symptoms (LUTS) as measured by International Prostate Symptom Score (IPSS) 0-7 mild, 8 – 19 moderate and 20 – 35 severe in absence of urethral obstruction</w:t>
      </w:r>
      <w:r w:rsidR="009F3BAA" w:rsidRPr="003F6226">
        <w:rPr>
          <w:rFonts w:eastAsia="Times New Roman" w:cs="Arial"/>
          <w:color w:val="000000"/>
          <w:sz w:val="24"/>
          <w:szCs w:val="24"/>
        </w:rPr>
        <w:t xml:space="preserve"> and other cause</w:t>
      </w:r>
      <w:r w:rsidR="00B15EC6">
        <w:rPr>
          <w:rFonts w:eastAsia="Times New Roman" w:cs="Arial"/>
          <w:color w:val="000000"/>
          <w:sz w:val="24"/>
          <w:szCs w:val="24"/>
        </w:rPr>
        <w:t>s</w:t>
      </w:r>
      <w:r w:rsidR="009F3BAA" w:rsidRPr="003F6226">
        <w:rPr>
          <w:rFonts w:eastAsia="Times New Roman" w:cs="Arial"/>
          <w:color w:val="000000"/>
          <w:sz w:val="24"/>
          <w:szCs w:val="24"/>
        </w:rPr>
        <w:t xml:space="preserve"> of bladder outlet obstruction</w:t>
      </w:r>
      <w:r w:rsidRPr="003F6226">
        <w:rPr>
          <w:rFonts w:eastAsia="Times New Roman" w:cs="Arial"/>
          <w:color w:val="000000"/>
          <w:sz w:val="24"/>
          <w:szCs w:val="24"/>
        </w:rPr>
        <w:t xml:space="preserve">.  Quality of life /bothersome QOL/BS assessment 0 – 6 QOL/BS </w:t>
      </w:r>
      <w:r w:rsidRPr="003F6226">
        <w:rPr>
          <w:rFonts w:eastAsia="Times New Roman" w:cs="Arial"/>
          <w:color w:val="000000"/>
          <w:sz w:val="24"/>
          <w:szCs w:val="24"/>
        </w:rPr>
        <w:lastRenderedPageBreak/>
        <w:t>(Delighted 0, Pleased 1, Mostly satisfied 2, Mixed 3, Mostly unsatisfied 4, Unhappy 5, Terrible 6) Score ≥3 being used as significant symptom</w:t>
      </w:r>
      <w:r w:rsidR="009F3BAA" w:rsidRPr="003F6226">
        <w:rPr>
          <w:rFonts w:eastAsia="Times New Roman" w:cs="Arial"/>
          <w:color w:val="000000"/>
          <w:sz w:val="24"/>
          <w:szCs w:val="24"/>
          <w:vertAlign w:val="superscript"/>
        </w:rPr>
        <w:t>3, 5</w:t>
      </w:r>
      <w:r w:rsidR="00B13A6A">
        <w:rPr>
          <w:rFonts w:eastAsia="Times New Roman" w:cs="Arial"/>
          <w:color w:val="000000"/>
          <w:sz w:val="24"/>
          <w:szCs w:val="24"/>
        </w:rPr>
        <w:t>.</w:t>
      </w:r>
      <w:r w:rsidRPr="003F6226">
        <w:rPr>
          <w:rFonts w:eastAsia="Times New Roman" w:cs="Arial"/>
          <w:color w:val="000000"/>
          <w:sz w:val="24"/>
          <w:szCs w:val="24"/>
        </w:rPr>
        <w:t xml:space="preserve"> </w:t>
      </w:r>
    </w:p>
    <w:p w:rsidR="00620A8A" w:rsidRPr="0096184E" w:rsidRDefault="00620A8A" w:rsidP="004666DD">
      <w:pPr>
        <w:spacing w:after="0" w:line="480" w:lineRule="auto"/>
        <w:rPr>
          <w:rFonts w:eastAsia="Times New Roman" w:cs="Arial"/>
          <w:color w:val="000000"/>
          <w:sz w:val="24"/>
          <w:szCs w:val="24"/>
        </w:rPr>
      </w:pPr>
      <w:r w:rsidRPr="003F6226">
        <w:rPr>
          <w:rFonts w:eastAsia="Times New Roman" w:cs="Arial"/>
          <w:color w:val="000000"/>
          <w:sz w:val="24"/>
          <w:szCs w:val="24"/>
        </w:rPr>
        <w:t xml:space="preserve">BENIGN PROSTATIC </w:t>
      </w:r>
      <w:r w:rsidR="007A4043" w:rsidRPr="003F6226">
        <w:rPr>
          <w:rFonts w:eastAsia="Times New Roman" w:cs="Arial"/>
          <w:color w:val="000000"/>
          <w:sz w:val="24"/>
          <w:szCs w:val="24"/>
        </w:rPr>
        <w:t>HYPERPLASIA (BPH/BPE) co-existing</w:t>
      </w:r>
      <w:r w:rsidRPr="003F6226">
        <w:rPr>
          <w:rFonts w:eastAsia="Times New Roman" w:cs="Arial"/>
          <w:color w:val="000000"/>
          <w:sz w:val="24"/>
          <w:szCs w:val="24"/>
        </w:rPr>
        <w:t xml:space="preserve"> with prostate cancer.  This will be reviewed as patients with clinical BPH </w:t>
      </w:r>
      <w:r w:rsidR="0096184E">
        <w:rPr>
          <w:rFonts w:eastAsia="Times New Roman" w:cs="Arial"/>
          <w:color w:val="000000"/>
          <w:sz w:val="24"/>
          <w:szCs w:val="24"/>
        </w:rPr>
        <w:t>and abnormal DRE and PSA</w:t>
      </w:r>
      <w:r w:rsidRPr="003F6226">
        <w:rPr>
          <w:rFonts w:eastAsia="Times New Roman" w:cs="Arial"/>
          <w:color w:val="000000"/>
          <w:sz w:val="24"/>
          <w:szCs w:val="24"/>
        </w:rPr>
        <w:t xml:space="preserve"> found to have </w:t>
      </w:r>
      <w:r w:rsidR="003F6226">
        <w:rPr>
          <w:rFonts w:eastAsia="Times New Roman" w:cs="Arial"/>
          <w:color w:val="000000"/>
          <w:sz w:val="24"/>
          <w:szCs w:val="24"/>
        </w:rPr>
        <w:t xml:space="preserve">histological </w:t>
      </w:r>
      <w:r w:rsidRPr="003F6226">
        <w:rPr>
          <w:rFonts w:eastAsia="Times New Roman" w:cs="Arial"/>
          <w:color w:val="000000"/>
          <w:sz w:val="24"/>
          <w:szCs w:val="24"/>
        </w:rPr>
        <w:t>concurrent prostate cancer</w:t>
      </w:r>
      <w:r w:rsidR="009F3BAA" w:rsidRPr="003F6226">
        <w:rPr>
          <w:rFonts w:eastAsia="Times New Roman" w:cs="Arial"/>
          <w:color w:val="000000"/>
          <w:sz w:val="24"/>
          <w:szCs w:val="24"/>
          <w:vertAlign w:val="superscript"/>
        </w:rPr>
        <w:t>6</w:t>
      </w:r>
      <w:r w:rsidRPr="003F6226">
        <w:rPr>
          <w:rFonts w:eastAsia="Times New Roman" w:cs="Arial"/>
          <w:color w:val="000000"/>
          <w:sz w:val="24"/>
          <w:szCs w:val="24"/>
          <w:vertAlign w:val="superscript"/>
        </w:rPr>
        <w:t>,</w:t>
      </w:r>
      <w:r w:rsidR="00607FF6">
        <w:rPr>
          <w:rFonts w:eastAsia="Times New Roman" w:cs="Arial"/>
          <w:color w:val="000000"/>
          <w:sz w:val="24"/>
          <w:szCs w:val="24"/>
          <w:vertAlign w:val="superscript"/>
        </w:rPr>
        <w:t xml:space="preserve"> </w:t>
      </w:r>
      <w:r w:rsidRPr="003F6226">
        <w:rPr>
          <w:rFonts w:eastAsia="Times New Roman" w:cs="Arial"/>
          <w:color w:val="000000"/>
          <w:sz w:val="24"/>
          <w:szCs w:val="24"/>
          <w:vertAlign w:val="superscript"/>
        </w:rPr>
        <w:t>7,</w:t>
      </w:r>
      <w:r w:rsidR="00607FF6">
        <w:rPr>
          <w:rFonts w:eastAsia="Times New Roman" w:cs="Arial"/>
          <w:color w:val="000000"/>
          <w:sz w:val="24"/>
          <w:szCs w:val="24"/>
          <w:vertAlign w:val="superscript"/>
        </w:rPr>
        <w:t xml:space="preserve"> </w:t>
      </w:r>
      <w:r w:rsidRPr="003F6226">
        <w:rPr>
          <w:rFonts w:eastAsia="Times New Roman" w:cs="Arial"/>
          <w:color w:val="000000"/>
          <w:sz w:val="24"/>
          <w:szCs w:val="24"/>
          <w:vertAlign w:val="superscript"/>
        </w:rPr>
        <w:t>8</w:t>
      </w:r>
      <w:r w:rsidR="0096184E">
        <w:rPr>
          <w:rFonts w:eastAsia="Times New Roman" w:cs="Arial"/>
          <w:color w:val="000000"/>
          <w:sz w:val="24"/>
          <w:szCs w:val="24"/>
        </w:rPr>
        <w:t>.</w:t>
      </w:r>
    </w:p>
    <w:p w:rsidR="00620A8A" w:rsidRPr="003F6226" w:rsidRDefault="00620A8A" w:rsidP="004666DD">
      <w:pPr>
        <w:spacing w:line="480" w:lineRule="auto"/>
        <w:rPr>
          <w:rFonts w:eastAsia="Times New Roman" w:cs="Arial"/>
          <w:color w:val="000000"/>
          <w:sz w:val="24"/>
          <w:szCs w:val="24"/>
        </w:rPr>
      </w:pPr>
      <w:r w:rsidRPr="003F6226">
        <w:rPr>
          <w:rFonts w:eastAsia="Times New Roman" w:cs="Arial"/>
          <w:color w:val="000000"/>
          <w:sz w:val="24"/>
          <w:szCs w:val="24"/>
        </w:rPr>
        <w:t>PROSTATE CANCER (PC) Review of literature to fin</w:t>
      </w:r>
      <w:r w:rsidR="003C1814">
        <w:rPr>
          <w:rFonts w:eastAsia="Times New Roman" w:cs="Arial"/>
          <w:color w:val="000000"/>
          <w:sz w:val="24"/>
          <w:szCs w:val="24"/>
        </w:rPr>
        <w:t>d prevalence population based on</w:t>
      </w:r>
      <w:r w:rsidRPr="003F6226">
        <w:rPr>
          <w:rFonts w:eastAsia="Times New Roman" w:cs="Arial"/>
          <w:color w:val="000000"/>
          <w:sz w:val="24"/>
          <w:szCs w:val="24"/>
        </w:rPr>
        <w:t xml:space="preserve"> histological cancer of prostate in the living and autopsy studies in Africans and other races</w:t>
      </w:r>
      <w:r w:rsidR="00607FF6" w:rsidRPr="00607FF6">
        <w:rPr>
          <w:rFonts w:eastAsia="Times New Roman" w:cs="Arial"/>
          <w:color w:val="000000"/>
          <w:sz w:val="24"/>
          <w:szCs w:val="24"/>
          <w:vertAlign w:val="superscript"/>
        </w:rPr>
        <w:t>2</w:t>
      </w:r>
      <w:r w:rsidR="003C1814">
        <w:rPr>
          <w:rFonts w:eastAsia="Times New Roman" w:cs="Arial"/>
          <w:color w:val="000000"/>
          <w:sz w:val="24"/>
          <w:szCs w:val="24"/>
        </w:rPr>
        <w:t>.</w:t>
      </w:r>
      <w:r w:rsidRPr="003F6226">
        <w:rPr>
          <w:rFonts w:eastAsia="Times New Roman" w:cs="Arial"/>
          <w:color w:val="000000"/>
          <w:sz w:val="24"/>
          <w:szCs w:val="24"/>
        </w:rPr>
        <w:t xml:space="preserve"> </w:t>
      </w:r>
    </w:p>
    <w:p w:rsidR="00386012" w:rsidRDefault="009F3BAA" w:rsidP="004666DD">
      <w:pPr>
        <w:spacing w:after="0" w:line="480" w:lineRule="auto"/>
        <w:rPr>
          <w:rFonts w:eastAsia="Times New Roman" w:cs="Arial"/>
          <w:color w:val="000000"/>
          <w:sz w:val="24"/>
          <w:szCs w:val="24"/>
        </w:rPr>
      </w:pPr>
      <w:r w:rsidRPr="003F6226">
        <w:rPr>
          <w:rFonts w:eastAsia="Times New Roman" w:cs="Arial"/>
          <w:color w:val="000000"/>
          <w:sz w:val="24"/>
          <w:szCs w:val="24"/>
        </w:rPr>
        <w:t>As previously stated b</w:t>
      </w:r>
      <w:r w:rsidR="00620A8A" w:rsidRPr="003F6226">
        <w:rPr>
          <w:rFonts w:eastAsia="Times New Roman" w:cs="Arial"/>
          <w:color w:val="000000"/>
          <w:sz w:val="24"/>
          <w:szCs w:val="24"/>
        </w:rPr>
        <w:t xml:space="preserve">enign prostatic hyperplasia/hypertrophy/enlargement (BPH/BPE) is </w:t>
      </w:r>
      <w:r w:rsidR="00607FF6">
        <w:rPr>
          <w:rFonts w:eastAsia="Times New Roman" w:cs="Arial"/>
          <w:color w:val="000000"/>
          <w:sz w:val="24"/>
          <w:szCs w:val="24"/>
        </w:rPr>
        <w:t>diagnosed</w:t>
      </w:r>
      <w:r w:rsidR="00620A8A" w:rsidRPr="003F6226">
        <w:rPr>
          <w:rFonts w:eastAsia="Times New Roman" w:cs="Arial"/>
          <w:color w:val="000000"/>
          <w:sz w:val="24"/>
          <w:szCs w:val="24"/>
        </w:rPr>
        <w:t xml:space="preserve"> on finding symptoms of LUTS/IPSS QOL/BS </w:t>
      </w:r>
      <w:r w:rsidR="006B76AA">
        <w:rPr>
          <w:rFonts w:eastAsia="Times New Roman" w:cs="Arial"/>
          <w:color w:val="000000"/>
          <w:sz w:val="24"/>
          <w:szCs w:val="24"/>
        </w:rPr>
        <w:t xml:space="preserve">in absence of other causes bladder outlet obstruction such as urethral stricture and PC </w:t>
      </w:r>
      <w:r w:rsidRPr="003F6226">
        <w:rPr>
          <w:rFonts w:eastAsia="Times New Roman" w:cs="Arial"/>
          <w:color w:val="000000"/>
          <w:sz w:val="24"/>
          <w:szCs w:val="24"/>
        </w:rPr>
        <w:t xml:space="preserve">and may </w:t>
      </w:r>
      <w:r w:rsidR="00801B2E">
        <w:rPr>
          <w:rFonts w:eastAsia="Times New Roman" w:cs="Arial"/>
          <w:color w:val="000000"/>
          <w:sz w:val="24"/>
          <w:szCs w:val="24"/>
        </w:rPr>
        <w:t xml:space="preserve">or may </w:t>
      </w:r>
      <w:r w:rsidRPr="003F6226">
        <w:rPr>
          <w:rFonts w:eastAsia="Times New Roman" w:cs="Arial"/>
          <w:color w:val="000000"/>
          <w:sz w:val="24"/>
          <w:szCs w:val="24"/>
        </w:rPr>
        <w:t>not be supported by DRE or ultrasound</w:t>
      </w:r>
      <w:r w:rsidR="00620A8A" w:rsidRPr="003F6226">
        <w:rPr>
          <w:rFonts w:eastAsia="Times New Roman" w:cs="Arial"/>
          <w:color w:val="000000"/>
          <w:sz w:val="24"/>
          <w:szCs w:val="24"/>
        </w:rPr>
        <w:t xml:space="preserve"> size. It is also confirmed by PSA ≥1.5ng/ml as surrogate measu</w:t>
      </w:r>
      <w:r w:rsidR="00386012" w:rsidRPr="003F6226">
        <w:rPr>
          <w:rFonts w:eastAsia="Times New Roman" w:cs="Arial"/>
          <w:color w:val="000000"/>
          <w:sz w:val="24"/>
          <w:szCs w:val="24"/>
        </w:rPr>
        <w:t xml:space="preserve">re of volume </w:t>
      </w:r>
      <w:r w:rsidR="00620A8A" w:rsidRPr="003F6226">
        <w:rPr>
          <w:rFonts w:eastAsia="Times New Roman" w:cs="Arial"/>
          <w:color w:val="000000"/>
          <w:sz w:val="24"/>
          <w:szCs w:val="24"/>
        </w:rPr>
        <w:t>≥30mls</w:t>
      </w:r>
      <w:r w:rsidR="006B76AA">
        <w:rPr>
          <w:rFonts w:eastAsia="Times New Roman" w:cs="Arial"/>
          <w:color w:val="000000"/>
          <w:sz w:val="24"/>
          <w:szCs w:val="24"/>
        </w:rPr>
        <w:t xml:space="preserve"> as well as peak flow rate and post void residual urine</w:t>
      </w:r>
      <w:r w:rsidRPr="003F6226">
        <w:rPr>
          <w:rFonts w:eastAsia="Times New Roman" w:cs="Arial"/>
          <w:color w:val="000000"/>
          <w:sz w:val="24"/>
          <w:szCs w:val="24"/>
          <w:vertAlign w:val="superscript"/>
        </w:rPr>
        <w:t>9</w:t>
      </w:r>
      <w:r w:rsidR="00620A8A" w:rsidRPr="003F6226">
        <w:rPr>
          <w:rFonts w:eastAsia="Times New Roman" w:cs="Arial"/>
          <w:color w:val="000000"/>
          <w:sz w:val="24"/>
          <w:szCs w:val="24"/>
          <w:vertAlign w:val="superscript"/>
        </w:rPr>
        <w:t xml:space="preserve">, </w:t>
      </w:r>
      <w:r w:rsidRPr="003F6226">
        <w:rPr>
          <w:rFonts w:eastAsia="Times New Roman" w:cs="Arial"/>
          <w:color w:val="000000"/>
          <w:sz w:val="24"/>
          <w:szCs w:val="24"/>
          <w:vertAlign w:val="superscript"/>
        </w:rPr>
        <w:t>10</w:t>
      </w:r>
      <w:r w:rsidRPr="003F6226">
        <w:rPr>
          <w:rFonts w:eastAsia="Times New Roman" w:cs="Arial"/>
          <w:color w:val="000000"/>
          <w:sz w:val="24"/>
          <w:szCs w:val="24"/>
        </w:rPr>
        <w:t xml:space="preserve"> </w:t>
      </w:r>
      <w:r w:rsidR="006B76AA">
        <w:rPr>
          <w:rFonts w:eastAsia="Times New Roman" w:cs="Arial"/>
          <w:color w:val="000000"/>
          <w:sz w:val="24"/>
          <w:szCs w:val="24"/>
        </w:rPr>
        <w:t xml:space="preserve">and by autopsy studies showing </w:t>
      </w:r>
      <w:r w:rsidRPr="003F6226">
        <w:rPr>
          <w:rFonts w:eastAsia="Times New Roman" w:cs="Arial"/>
          <w:color w:val="000000"/>
          <w:sz w:val="24"/>
          <w:szCs w:val="24"/>
        </w:rPr>
        <w:t>histological BPH</w:t>
      </w:r>
      <w:r w:rsidR="00620A8A" w:rsidRPr="003F6226">
        <w:rPr>
          <w:rFonts w:eastAsia="Times New Roman" w:cs="Arial"/>
          <w:color w:val="000000"/>
          <w:sz w:val="24"/>
          <w:szCs w:val="24"/>
        </w:rPr>
        <w:t xml:space="preserve">.  </w:t>
      </w:r>
    </w:p>
    <w:p w:rsidR="006B76AA" w:rsidRPr="003F6226" w:rsidRDefault="006B76AA" w:rsidP="004666DD">
      <w:pPr>
        <w:spacing w:after="0" w:line="480" w:lineRule="auto"/>
        <w:rPr>
          <w:rFonts w:eastAsia="Times New Roman" w:cs="Arial"/>
          <w:color w:val="000000"/>
          <w:sz w:val="24"/>
          <w:szCs w:val="24"/>
        </w:rPr>
      </w:pPr>
    </w:p>
    <w:p w:rsidR="00620A8A" w:rsidRPr="000172E0" w:rsidRDefault="00620A8A" w:rsidP="004666DD">
      <w:pPr>
        <w:spacing w:after="0" w:line="480" w:lineRule="auto"/>
        <w:rPr>
          <w:rFonts w:eastAsia="Times New Roman" w:cs="Arial"/>
          <w:color w:val="000000"/>
          <w:sz w:val="24"/>
          <w:szCs w:val="24"/>
        </w:rPr>
      </w:pPr>
      <w:r w:rsidRPr="003F6226">
        <w:rPr>
          <w:rFonts w:eastAsia="Times New Roman" w:cs="Arial"/>
          <w:color w:val="000000"/>
          <w:sz w:val="24"/>
          <w:szCs w:val="24"/>
        </w:rPr>
        <w:t>Management of symptomatic BPH is initially by alpha adrenergic blockers (alfuzosin, doxazosin, terrazosin, tamsulosin) or by combination of α blockers and 5 alpha reductase inhibitors (Finasteride, dutersteride).  Surgery is indicated in refractory urine retention, recurrent UTI, diverticulum, stones, obstructive nephropathy a</w:t>
      </w:r>
      <w:r w:rsidR="006B76AA">
        <w:rPr>
          <w:rFonts w:eastAsia="Times New Roman" w:cs="Arial"/>
          <w:color w:val="000000"/>
          <w:sz w:val="24"/>
          <w:szCs w:val="24"/>
        </w:rPr>
        <w:t>nd haematuria.  The surgical approaches are t</w:t>
      </w:r>
      <w:r w:rsidRPr="003F6226">
        <w:rPr>
          <w:rFonts w:eastAsia="Times New Roman" w:cs="Arial"/>
          <w:color w:val="000000"/>
          <w:sz w:val="24"/>
          <w:szCs w:val="24"/>
        </w:rPr>
        <w:t>ransurethral resection of prostate</w:t>
      </w:r>
      <w:r w:rsidR="006B76AA">
        <w:rPr>
          <w:rFonts w:eastAsia="Times New Roman" w:cs="Arial"/>
          <w:color w:val="000000"/>
          <w:sz w:val="24"/>
          <w:szCs w:val="24"/>
        </w:rPr>
        <w:t xml:space="preserve"> gland (TURP), t</w:t>
      </w:r>
      <w:r w:rsidRPr="003F6226">
        <w:rPr>
          <w:rFonts w:eastAsia="Times New Roman" w:cs="Arial"/>
          <w:color w:val="000000"/>
          <w:sz w:val="24"/>
          <w:szCs w:val="24"/>
        </w:rPr>
        <w:t>ransurethral incision of prostate</w:t>
      </w:r>
      <w:r w:rsidR="006B76AA">
        <w:rPr>
          <w:rFonts w:eastAsia="Times New Roman" w:cs="Arial"/>
          <w:color w:val="000000"/>
          <w:sz w:val="24"/>
          <w:szCs w:val="24"/>
        </w:rPr>
        <w:t xml:space="preserve"> gland</w:t>
      </w:r>
      <w:r w:rsidRPr="003F6226">
        <w:rPr>
          <w:rFonts w:eastAsia="Times New Roman" w:cs="Arial"/>
          <w:color w:val="000000"/>
          <w:sz w:val="24"/>
          <w:szCs w:val="24"/>
        </w:rPr>
        <w:t xml:space="preserve"> (TUIP) or open suprapubic prostatectomy</w:t>
      </w:r>
      <w:r w:rsidR="007A4043" w:rsidRPr="003F6226">
        <w:rPr>
          <w:rFonts w:eastAsia="Times New Roman" w:cs="Arial"/>
          <w:color w:val="000000"/>
          <w:sz w:val="24"/>
          <w:szCs w:val="24"/>
          <w:vertAlign w:val="superscript"/>
        </w:rPr>
        <w:t>11</w:t>
      </w:r>
      <w:r w:rsidR="000172E0">
        <w:rPr>
          <w:rFonts w:eastAsia="Times New Roman" w:cs="Arial"/>
          <w:color w:val="000000"/>
          <w:sz w:val="24"/>
          <w:szCs w:val="24"/>
          <w:vertAlign w:val="superscript"/>
        </w:rPr>
        <w:t>,</w:t>
      </w:r>
      <w:r w:rsidRPr="003F6226">
        <w:rPr>
          <w:rFonts w:eastAsia="Times New Roman" w:cs="Arial"/>
          <w:color w:val="000000"/>
          <w:sz w:val="24"/>
          <w:szCs w:val="24"/>
        </w:rPr>
        <w:t xml:space="preserve"> </w:t>
      </w:r>
      <w:r w:rsidR="007A4043" w:rsidRPr="003F6226">
        <w:rPr>
          <w:rFonts w:eastAsia="Times New Roman" w:cs="Arial"/>
          <w:color w:val="000000"/>
          <w:sz w:val="24"/>
          <w:szCs w:val="24"/>
          <w:vertAlign w:val="superscript"/>
        </w:rPr>
        <w:t>12</w:t>
      </w:r>
      <w:r w:rsidR="000172E0">
        <w:rPr>
          <w:rFonts w:eastAsia="Times New Roman" w:cs="Arial"/>
          <w:color w:val="000000"/>
          <w:sz w:val="24"/>
          <w:szCs w:val="24"/>
        </w:rPr>
        <w:t>.</w:t>
      </w:r>
      <w:r w:rsidR="006B76AA">
        <w:rPr>
          <w:rFonts w:eastAsia="Times New Roman" w:cs="Arial"/>
          <w:color w:val="000000"/>
          <w:sz w:val="24"/>
          <w:szCs w:val="24"/>
        </w:rPr>
        <w:t xml:space="preserve">    </w:t>
      </w:r>
      <w:r w:rsidRPr="003F6226">
        <w:rPr>
          <w:rFonts w:eastAsia="Times New Roman" w:cs="Arial"/>
          <w:color w:val="000000"/>
          <w:sz w:val="24"/>
          <w:szCs w:val="24"/>
        </w:rPr>
        <w:t>B</w:t>
      </w:r>
      <w:r w:rsidR="006B76AA">
        <w:rPr>
          <w:rFonts w:eastAsia="Times New Roman" w:cs="Arial"/>
          <w:color w:val="000000"/>
          <w:sz w:val="24"/>
          <w:szCs w:val="24"/>
        </w:rPr>
        <w:t>enign prostatic h</w:t>
      </w:r>
      <w:r w:rsidR="007A4043" w:rsidRPr="003F6226">
        <w:rPr>
          <w:rFonts w:eastAsia="Times New Roman" w:cs="Arial"/>
          <w:color w:val="000000"/>
          <w:sz w:val="24"/>
          <w:szCs w:val="24"/>
        </w:rPr>
        <w:t>yperplasia</w:t>
      </w:r>
      <w:r w:rsidR="006B76AA">
        <w:rPr>
          <w:rFonts w:eastAsia="Times New Roman" w:cs="Arial"/>
          <w:color w:val="000000"/>
          <w:sz w:val="24"/>
          <w:szCs w:val="24"/>
        </w:rPr>
        <w:t xml:space="preserve"> may co-exist</w:t>
      </w:r>
      <w:r w:rsidR="007A4043" w:rsidRPr="003F6226">
        <w:rPr>
          <w:rFonts w:eastAsia="Times New Roman" w:cs="Arial"/>
          <w:color w:val="000000"/>
          <w:sz w:val="24"/>
          <w:szCs w:val="24"/>
        </w:rPr>
        <w:t xml:space="preserve"> with </w:t>
      </w:r>
      <w:r w:rsidR="003F6226">
        <w:rPr>
          <w:rFonts w:eastAsia="Times New Roman" w:cs="Arial"/>
          <w:color w:val="000000"/>
          <w:sz w:val="24"/>
          <w:szCs w:val="24"/>
        </w:rPr>
        <w:t>PC</w:t>
      </w:r>
      <w:r w:rsidR="000172E0">
        <w:rPr>
          <w:rFonts w:eastAsia="Times New Roman" w:cs="Arial"/>
          <w:color w:val="000000"/>
          <w:sz w:val="24"/>
          <w:szCs w:val="24"/>
          <w:vertAlign w:val="superscript"/>
        </w:rPr>
        <w:t>6</w:t>
      </w:r>
      <w:proofErr w:type="gramStart"/>
      <w:r w:rsidR="000172E0">
        <w:rPr>
          <w:rFonts w:eastAsia="Times New Roman" w:cs="Arial"/>
          <w:color w:val="000000"/>
          <w:sz w:val="24"/>
          <w:szCs w:val="24"/>
          <w:vertAlign w:val="superscript"/>
        </w:rPr>
        <w:t>,7,</w:t>
      </w:r>
      <w:r w:rsidR="006B76AA" w:rsidRPr="006B76AA">
        <w:rPr>
          <w:rFonts w:eastAsia="Times New Roman" w:cs="Arial"/>
          <w:color w:val="000000"/>
          <w:sz w:val="24"/>
          <w:szCs w:val="24"/>
          <w:vertAlign w:val="superscript"/>
        </w:rPr>
        <w:t>8</w:t>
      </w:r>
      <w:proofErr w:type="gramEnd"/>
      <w:r w:rsidR="000172E0">
        <w:rPr>
          <w:rFonts w:eastAsia="Times New Roman" w:cs="Arial"/>
          <w:color w:val="000000"/>
          <w:sz w:val="24"/>
          <w:szCs w:val="24"/>
        </w:rPr>
        <w:t>.</w:t>
      </w:r>
      <w:r w:rsidRPr="006B76AA">
        <w:rPr>
          <w:rFonts w:eastAsia="Times New Roman" w:cs="Arial"/>
          <w:color w:val="000000"/>
          <w:sz w:val="24"/>
          <w:szCs w:val="24"/>
          <w:vertAlign w:val="superscript"/>
        </w:rPr>
        <w:t xml:space="preserve">  </w:t>
      </w:r>
      <w:r w:rsidR="003F6226">
        <w:rPr>
          <w:rFonts w:eastAsia="Times New Roman" w:cs="Arial"/>
          <w:color w:val="000000"/>
          <w:sz w:val="24"/>
          <w:szCs w:val="24"/>
        </w:rPr>
        <w:t>The methods of management</w:t>
      </w:r>
      <w:r w:rsidR="006B76AA">
        <w:rPr>
          <w:rFonts w:eastAsia="Times New Roman" w:cs="Arial"/>
          <w:color w:val="000000"/>
          <w:sz w:val="24"/>
          <w:szCs w:val="24"/>
        </w:rPr>
        <w:t xml:space="preserve"> follow protocols for </w:t>
      </w:r>
      <w:r w:rsidR="003F6226">
        <w:rPr>
          <w:rFonts w:eastAsia="Times New Roman" w:cs="Arial"/>
          <w:color w:val="000000"/>
          <w:sz w:val="24"/>
          <w:szCs w:val="24"/>
        </w:rPr>
        <w:t>PC</w:t>
      </w:r>
      <w:r w:rsidR="000172E0">
        <w:rPr>
          <w:rFonts w:eastAsia="Times New Roman" w:cs="Arial"/>
          <w:color w:val="000000"/>
          <w:sz w:val="24"/>
          <w:szCs w:val="24"/>
          <w:vertAlign w:val="superscript"/>
        </w:rPr>
        <w:t>13</w:t>
      </w:r>
      <w:proofErr w:type="gramStart"/>
      <w:r w:rsidR="000172E0">
        <w:rPr>
          <w:rFonts w:eastAsia="Times New Roman" w:cs="Arial"/>
          <w:color w:val="000000"/>
          <w:sz w:val="24"/>
          <w:szCs w:val="24"/>
          <w:vertAlign w:val="superscript"/>
        </w:rPr>
        <w:t>,</w:t>
      </w:r>
      <w:r w:rsidR="006B76AA" w:rsidRPr="006B76AA">
        <w:rPr>
          <w:rFonts w:eastAsia="Times New Roman" w:cs="Arial"/>
          <w:color w:val="000000"/>
          <w:sz w:val="24"/>
          <w:szCs w:val="24"/>
          <w:vertAlign w:val="superscript"/>
        </w:rPr>
        <w:t>14</w:t>
      </w:r>
      <w:proofErr w:type="gramEnd"/>
      <w:r w:rsidR="000172E0">
        <w:rPr>
          <w:rFonts w:eastAsia="Times New Roman" w:cs="Arial"/>
          <w:color w:val="000000"/>
          <w:sz w:val="24"/>
          <w:szCs w:val="24"/>
        </w:rPr>
        <w:t>.</w:t>
      </w:r>
    </w:p>
    <w:p w:rsidR="00620A8A" w:rsidRDefault="00620A8A" w:rsidP="004666DD">
      <w:pPr>
        <w:spacing w:line="480" w:lineRule="auto"/>
        <w:rPr>
          <w:rFonts w:eastAsia="Times New Roman" w:cs="Arial"/>
          <w:color w:val="000000"/>
          <w:sz w:val="24"/>
          <w:szCs w:val="24"/>
        </w:rPr>
      </w:pPr>
      <w:r w:rsidRPr="003F6226">
        <w:rPr>
          <w:rFonts w:eastAsia="Times New Roman" w:cs="Arial"/>
          <w:color w:val="000000"/>
          <w:sz w:val="24"/>
          <w:szCs w:val="24"/>
        </w:rPr>
        <w:lastRenderedPageBreak/>
        <w:t>Prostate cancer (PC)</w:t>
      </w:r>
      <w:r w:rsidR="003F6226">
        <w:rPr>
          <w:rFonts w:eastAsia="Times New Roman" w:cs="Arial"/>
          <w:color w:val="000000"/>
          <w:sz w:val="24"/>
          <w:szCs w:val="24"/>
        </w:rPr>
        <w:t xml:space="preserve"> prevalence/</w:t>
      </w:r>
      <w:r w:rsidRPr="003F6226">
        <w:rPr>
          <w:rFonts w:eastAsia="Times New Roman" w:cs="Arial"/>
          <w:color w:val="000000"/>
          <w:sz w:val="24"/>
          <w:szCs w:val="24"/>
        </w:rPr>
        <w:t xml:space="preserve"> inci</w:t>
      </w:r>
      <w:r w:rsidR="007A4043" w:rsidRPr="003F6226">
        <w:rPr>
          <w:rFonts w:eastAsia="Times New Roman" w:cs="Arial"/>
          <w:color w:val="000000"/>
          <w:sz w:val="24"/>
          <w:szCs w:val="24"/>
        </w:rPr>
        <w:t xml:space="preserve">dence </w:t>
      </w:r>
      <w:proofErr w:type="gramStart"/>
      <w:r w:rsidR="007A4043" w:rsidRPr="003F6226">
        <w:rPr>
          <w:rFonts w:eastAsia="Times New Roman" w:cs="Arial"/>
          <w:color w:val="000000"/>
          <w:sz w:val="24"/>
          <w:szCs w:val="24"/>
        </w:rPr>
        <w:t>is</w:t>
      </w:r>
      <w:proofErr w:type="gramEnd"/>
      <w:r w:rsidR="007A4043" w:rsidRPr="003F6226">
        <w:rPr>
          <w:rFonts w:eastAsia="Times New Roman" w:cs="Arial"/>
          <w:color w:val="000000"/>
          <w:sz w:val="24"/>
          <w:szCs w:val="24"/>
        </w:rPr>
        <w:t xml:space="preserve"> based in all cases on</w:t>
      </w:r>
      <w:r w:rsidRPr="003F6226">
        <w:rPr>
          <w:rFonts w:eastAsia="Times New Roman" w:cs="Arial"/>
          <w:color w:val="000000"/>
          <w:sz w:val="24"/>
          <w:szCs w:val="24"/>
        </w:rPr>
        <w:t xml:space="preserve"> h</w:t>
      </w:r>
      <w:r w:rsidR="003F6226">
        <w:rPr>
          <w:rFonts w:eastAsia="Times New Roman" w:cs="Arial"/>
          <w:color w:val="000000"/>
          <w:sz w:val="24"/>
          <w:szCs w:val="24"/>
        </w:rPr>
        <w:t xml:space="preserve">istological proven carcinoma.  The incidence </w:t>
      </w:r>
      <w:r w:rsidRPr="003F6226">
        <w:rPr>
          <w:rFonts w:eastAsia="Times New Roman" w:cs="Arial"/>
          <w:color w:val="000000"/>
          <w:sz w:val="24"/>
          <w:szCs w:val="24"/>
        </w:rPr>
        <w:t>ma</w:t>
      </w:r>
      <w:r w:rsidR="003F6226">
        <w:rPr>
          <w:rFonts w:eastAsia="Times New Roman" w:cs="Arial"/>
          <w:color w:val="000000"/>
          <w:sz w:val="24"/>
          <w:szCs w:val="24"/>
        </w:rPr>
        <w:t xml:space="preserve">y be based on hospital, clinic or unit cases and the </w:t>
      </w:r>
      <w:r w:rsidRPr="003F6226">
        <w:rPr>
          <w:rFonts w:eastAsia="Times New Roman" w:cs="Arial"/>
          <w:color w:val="000000"/>
          <w:sz w:val="24"/>
          <w:szCs w:val="24"/>
        </w:rPr>
        <w:t xml:space="preserve">prevalence studies </w:t>
      </w:r>
      <w:r w:rsidR="00386012" w:rsidRPr="003F6226">
        <w:rPr>
          <w:rFonts w:eastAsia="Times New Roman" w:cs="Arial"/>
          <w:color w:val="000000"/>
          <w:sz w:val="24"/>
          <w:szCs w:val="24"/>
        </w:rPr>
        <w:t xml:space="preserve">are based on </w:t>
      </w:r>
      <w:r w:rsidRPr="003F6226">
        <w:rPr>
          <w:rFonts w:eastAsia="Times New Roman" w:cs="Arial"/>
          <w:color w:val="000000"/>
          <w:sz w:val="24"/>
          <w:szCs w:val="24"/>
        </w:rPr>
        <w:t xml:space="preserve">population screening or from autopsy </w:t>
      </w:r>
      <w:r w:rsidR="006B76AA">
        <w:rPr>
          <w:rFonts w:eastAsia="Times New Roman" w:cs="Arial"/>
          <w:color w:val="000000"/>
          <w:sz w:val="24"/>
          <w:szCs w:val="24"/>
        </w:rPr>
        <w:t xml:space="preserve">screening </w:t>
      </w:r>
      <w:r w:rsidRPr="003F6226">
        <w:rPr>
          <w:rFonts w:eastAsia="Times New Roman" w:cs="Arial"/>
          <w:color w:val="000000"/>
          <w:sz w:val="24"/>
          <w:szCs w:val="24"/>
        </w:rPr>
        <w:t>studies</w:t>
      </w:r>
      <w:r w:rsidR="007A4043" w:rsidRPr="003F6226">
        <w:rPr>
          <w:rFonts w:eastAsia="Times New Roman" w:cs="Arial"/>
          <w:color w:val="000000"/>
          <w:sz w:val="24"/>
          <w:szCs w:val="24"/>
        </w:rPr>
        <w:t xml:space="preserve">. </w:t>
      </w:r>
      <w:r w:rsidRPr="003F6226">
        <w:rPr>
          <w:rFonts w:eastAsia="Times New Roman" w:cs="Arial"/>
          <w:color w:val="000000"/>
          <w:sz w:val="24"/>
          <w:szCs w:val="24"/>
        </w:rPr>
        <w:t xml:space="preserve"> </w:t>
      </w:r>
      <w:r w:rsidR="00386012" w:rsidRPr="003F6226">
        <w:rPr>
          <w:rFonts w:eastAsia="Times New Roman" w:cs="Arial"/>
          <w:color w:val="000000"/>
          <w:sz w:val="24"/>
          <w:szCs w:val="24"/>
        </w:rPr>
        <w:t>The m</w:t>
      </w:r>
      <w:r w:rsidRPr="003F6226">
        <w:rPr>
          <w:rFonts w:eastAsia="Times New Roman" w:cs="Arial"/>
          <w:color w:val="000000"/>
          <w:sz w:val="24"/>
          <w:szCs w:val="24"/>
        </w:rPr>
        <w:t>anagement of PC depends on stage, physique and age of patients.  For early PC</w:t>
      </w:r>
      <w:r w:rsidR="000172E0">
        <w:rPr>
          <w:rFonts w:eastAsia="Times New Roman" w:cs="Arial"/>
          <w:color w:val="000000"/>
          <w:sz w:val="24"/>
          <w:szCs w:val="24"/>
        </w:rPr>
        <w:t>,</w:t>
      </w:r>
      <w:r w:rsidRPr="003F6226">
        <w:rPr>
          <w:rFonts w:eastAsia="Times New Roman" w:cs="Arial"/>
          <w:color w:val="000000"/>
          <w:sz w:val="24"/>
          <w:szCs w:val="24"/>
        </w:rPr>
        <w:t xml:space="preserve"> treatment is </w:t>
      </w:r>
      <w:r w:rsidR="00386012" w:rsidRPr="003F6226">
        <w:rPr>
          <w:rFonts w:eastAsia="Times New Roman" w:cs="Arial"/>
          <w:color w:val="000000"/>
          <w:sz w:val="24"/>
          <w:szCs w:val="24"/>
        </w:rPr>
        <w:t>by radical prostatectomy (RP), brachytherapy or external b</w:t>
      </w:r>
      <w:r w:rsidRPr="003F6226">
        <w:rPr>
          <w:rFonts w:eastAsia="Times New Roman" w:cs="Arial"/>
          <w:color w:val="000000"/>
          <w:sz w:val="24"/>
          <w:szCs w:val="24"/>
        </w:rPr>
        <w:t>eam radiotherapy (EBRT).  Treatment for locally advanced PC is by neoadjuvant hormonal or chemotherapy salvage RP, brachytherapy/EBRT or hormone therapy.  For advanced and metastatic cases</w:t>
      </w:r>
      <w:r w:rsidR="000172E0">
        <w:rPr>
          <w:rFonts w:eastAsia="Times New Roman" w:cs="Arial"/>
          <w:color w:val="000000"/>
          <w:sz w:val="24"/>
          <w:szCs w:val="24"/>
        </w:rPr>
        <w:t>,</w:t>
      </w:r>
      <w:r w:rsidRPr="003F6226">
        <w:rPr>
          <w:rFonts w:eastAsia="Times New Roman" w:cs="Arial"/>
          <w:color w:val="000000"/>
          <w:sz w:val="24"/>
          <w:szCs w:val="24"/>
        </w:rPr>
        <w:t xml:space="preserve"> hormon</w:t>
      </w:r>
      <w:r w:rsidR="000172E0">
        <w:rPr>
          <w:rFonts w:eastAsia="Times New Roman" w:cs="Arial"/>
          <w:color w:val="000000"/>
          <w:sz w:val="24"/>
          <w:szCs w:val="24"/>
        </w:rPr>
        <w:t>al or chemotherapy treatment is</w:t>
      </w:r>
      <w:r w:rsidRPr="003F6226">
        <w:rPr>
          <w:rFonts w:eastAsia="Times New Roman" w:cs="Arial"/>
          <w:color w:val="000000"/>
          <w:sz w:val="24"/>
          <w:szCs w:val="24"/>
        </w:rPr>
        <w:t xml:space="preserve"> used</w:t>
      </w:r>
      <w:r w:rsidR="007A4043" w:rsidRPr="003F6226">
        <w:rPr>
          <w:rFonts w:eastAsia="Times New Roman" w:cs="Arial"/>
          <w:color w:val="000000"/>
          <w:sz w:val="24"/>
          <w:szCs w:val="24"/>
          <w:vertAlign w:val="superscript"/>
        </w:rPr>
        <w:t>13</w:t>
      </w:r>
      <w:proofErr w:type="gramStart"/>
      <w:r w:rsidRPr="003F6226">
        <w:rPr>
          <w:rFonts w:eastAsia="Times New Roman" w:cs="Arial"/>
          <w:color w:val="000000"/>
          <w:sz w:val="24"/>
          <w:szCs w:val="24"/>
          <w:vertAlign w:val="superscript"/>
        </w:rPr>
        <w:t>,</w:t>
      </w:r>
      <w:r w:rsidR="007A4043" w:rsidRPr="003F6226">
        <w:rPr>
          <w:rFonts w:eastAsia="Times New Roman" w:cs="Arial"/>
          <w:color w:val="000000"/>
          <w:sz w:val="24"/>
          <w:szCs w:val="24"/>
          <w:vertAlign w:val="superscript"/>
        </w:rPr>
        <w:t>14</w:t>
      </w:r>
      <w:proofErr w:type="gramEnd"/>
      <w:r w:rsidR="000172E0">
        <w:rPr>
          <w:rFonts w:eastAsia="Times New Roman" w:cs="Arial"/>
          <w:color w:val="000000"/>
          <w:sz w:val="24"/>
          <w:szCs w:val="24"/>
        </w:rPr>
        <w:t>.</w:t>
      </w:r>
    </w:p>
    <w:p w:rsidR="00A161DD" w:rsidRDefault="00A161DD" w:rsidP="004666DD">
      <w:pPr>
        <w:spacing w:line="480" w:lineRule="auto"/>
        <w:rPr>
          <w:rFonts w:eastAsia="Times New Roman" w:cs="Arial"/>
          <w:color w:val="000000"/>
          <w:sz w:val="24"/>
          <w:szCs w:val="24"/>
        </w:rPr>
      </w:pPr>
    </w:p>
    <w:p w:rsidR="00A161DD" w:rsidRPr="00A940BA" w:rsidRDefault="00A161DD" w:rsidP="00A161DD">
      <w:pPr>
        <w:spacing w:after="0" w:line="480" w:lineRule="auto"/>
        <w:rPr>
          <w:rFonts w:eastAsia="Times New Roman" w:cs="Arial"/>
          <w:b/>
          <w:color w:val="000000"/>
          <w:sz w:val="24"/>
          <w:szCs w:val="24"/>
        </w:rPr>
      </w:pPr>
      <w:r w:rsidRPr="00A940BA">
        <w:rPr>
          <w:rFonts w:eastAsia="Times New Roman" w:cs="Arial"/>
          <w:b/>
          <w:color w:val="000000"/>
          <w:sz w:val="24"/>
          <w:szCs w:val="24"/>
        </w:rPr>
        <w:t>MATERIALS AND METHODS</w:t>
      </w:r>
    </w:p>
    <w:p w:rsidR="00CE2CCE" w:rsidRPr="008F7EEB" w:rsidRDefault="007123C7" w:rsidP="00CE2CCE">
      <w:pPr>
        <w:spacing w:line="480" w:lineRule="auto"/>
        <w:rPr>
          <w:color w:val="000000" w:themeColor="text1"/>
          <w:sz w:val="24"/>
          <w:szCs w:val="24"/>
        </w:rPr>
      </w:pPr>
      <w:r w:rsidRPr="008F7EEB">
        <w:rPr>
          <w:color w:val="000000" w:themeColor="text1"/>
          <w:sz w:val="24"/>
          <w:szCs w:val="24"/>
        </w:rPr>
        <w:t>The</w:t>
      </w:r>
      <w:r w:rsidR="00CE2CCE" w:rsidRPr="008F7EEB">
        <w:rPr>
          <w:color w:val="000000" w:themeColor="text1"/>
          <w:sz w:val="24"/>
          <w:szCs w:val="24"/>
        </w:rPr>
        <w:t xml:space="preserve"> literature</w:t>
      </w:r>
      <w:r w:rsidRPr="008F7EEB">
        <w:rPr>
          <w:color w:val="000000" w:themeColor="text1"/>
          <w:sz w:val="24"/>
          <w:szCs w:val="24"/>
        </w:rPr>
        <w:t xml:space="preserve"> review was from Medline from</w:t>
      </w:r>
      <w:r w:rsidR="00CE2CCE" w:rsidRPr="008F7EEB">
        <w:rPr>
          <w:color w:val="000000" w:themeColor="text1"/>
          <w:sz w:val="24"/>
          <w:szCs w:val="24"/>
        </w:rPr>
        <w:t xml:space="preserve"> 1969 to present involving work done on prevalence of BPH, BPH co-existing with prostate cancer and prostate cancer from USA, UK, Europe, West Indies,  West Africa, South Africa and other parts of Africa, Jap</w:t>
      </w:r>
      <w:r w:rsidR="00542E08" w:rsidRPr="008F7EEB">
        <w:rPr>
          <w:color w:val="000000" w:themeColor="text1"/>
          <w:sz w:val="24"/>
          <w:szCs w:val="24"/>
        </w:rPr>
        <w:t>an, Asia and others were used.  P</w:t>
      </w:r>
      <w:r w:rsidR="00CE2CCE" w:rsidRPr="008F7EEB">
        <w:rPr>
          <w:color w:val="000000" w:themeColor="text1"/>
          <w:sz w:val="24"/>
          <w:szCs w:val="24"/>
        </w:rPr>
        <w:t>ublished reviews on prevalence in Caucasians, Caucasian Americans, African Americans, West Indians, Africans in the diaspora, Africans in Africa, Hispanics, Asiatics and others</w:t>
      </w:r>
      <w:r w:rsidR="00542E08" w:rsidRPr="008F7EEB">
        <w:rPr>
          <w:color w:val="000000" w:themeColor="text1"/>
          <w:sz w:val="24"/>
          <w:szCs w:val="24"/>
        </w:rPr>
        <w:t xml:space="preserve"> were identified and appraised</w:t>
      </w:r>
      <w:r w:rsidR="00CE2CCE" w:rsidRPr="008F7EEB">
        <w:rPr>
          <w:color w:val="000000" w:themeColor="text1"/>
          <w:sz w:val="24"/>
          <w:szCs w:val="24"/>
        </w:rPr>
        <w:t>, and described the quality of the evidence base used</w:t>
      </w:r>
      <w:r w:rsidR="00542E08" w:rsidRPr="008F7EEB">
        <w:rPr>
          <w:color w:val="000000" w:themeColor="text1"/>
          <w:sz w:val="24"/>
          <w:szCs w:val="24"/>
        </w:rPr>
        <w:t xml:space="preserve">.  </w:t>
      </w:r>
      <w:r w:rsidR="00FE39A4" w:rsidRPr="008F7EEB">
        <w:rPr>
          <w:color w:val="000000" w:themeColor="text1"/>
          <w:sz w:val="24"/>
          <w:szCs w:val="24"/>
        </w:rPr>
        <w:t>T</w:t>
      </w:r>
      <w:r w:rsidR="00CE2CCE" w:rsidRPr="008F7EEB">
        <w:rPr>
          <w:color w:val="000000" w:themeColor="text1"/>
          <w:sz w:val="24"/>
          <w:szCs w:val="24"/>
        </w:rPr>
        <w:t>he reviews and their conclusions</w:t>
      </w:r>
      <w:r w:rsidR="00FE39A4" w:rsidRPr="008F7EEB">
        <w:rPr>
          <w:color w:val="000000" w:themeColor="text1"/>
          <w:sz w:val="24"/>
          <w:szCs w:val="24"/>
        </w:rPr>
        <w:t xml:space="preserve"> were summarized and compared;</w:t>
      </w:r>
      <w:r w:rsidR="00CE2CCE" w:rsidRPr="008F7EEB">
        <w:rPr>
          <w:color w:val="000000" w:themeColor="text1"/>
          <w:sz w:val="24"/>
          <w:szCs w:val="24"/>
        </w:rPr>
        <w:t xml:space="preserve"> the s</w:t>
      </w:r>
      <w:r w:rsidR="00542E08" w:rsidRPr="008F7EEB">
        <w:rPr>
          <w:color w:val="000000" w:themeColor="text1"/>
          <w:sz w:val="24"/>
          <w:szCs w:val="24"/>
        </w:rPr>
        <w:t>trengths of the conclusions</w:t>
      </w:r>
      <w:r w:rsidR="00FE39A4" w:rsidRPr="008F7EEB">
        <w:rPr>
          <w:color w:val="000000" w:themeColor="text1"/>
          <w:sz w:val="24"/>
          <w:szCs w:val="24"/>
        </w:rPr>
        <w:t xml:space="preserve"> were discussed</w:t>
      </w:r>
      <w:r w:rsidR="00CE2CCE" w:rsidRPr="008F7EEB">
        <w:rPr>
          <w:color w:val="000000" w:themeColor="text1"/>
          <w:sz w:val="24"/>
          <w:szCs w:val="24"/>
        </w:rPr>
        <w:t>.</w:t>
      </w:r>
    </w:p>
    <w:p w:rsidR="00CE2CCE" w:rsidRPr="008F7EEB" w:rsidRDefault="00542E08" w:rsidP="00CE2CCE">
      <w:pPr>
        <w:spacing w:line="480" w:lineRule="auto"/>
        <w:rPr>
          <w:color w:val="000000" w:themeColor="text1"/>
          <w:sz w:val="24"/>
          <w:szCs w:val="24"/>
        </w:rPr>
      </w:pPr>
      <w:r w:rsidRPr="008F7EEB">
        <w:rPr>
          <w:rFonts w:eastAsia="Times New Roman" w:cs="Arial"/>
          <w:color w:val="000000" w:themeColor="text1"/>
          <w:sz w:val="24"/>
          <w:szCs w:val="24"/>
        </w:rPr>
        <w:t>STATISTICAL METHODS</w:t>
      </w:r>
      <w:r w:rsidR="00CE2CCE" w:rsidRPr="008F7EEB">
        <w:rPr>
          <w:rFonts w:eastAsia="Times New Roman" w:cs="Arial"/>
          <w:color w:val="000000" w:themeColor="text1"/>
          <w:sz w:val="24"/>
          <w:szCs w:val="24"/>
        </w:rPr>
        <w:t xml:space="preserve">:   </w:t>
      </w:r>
      <w:r w:rsidR="00CE2CCE" w:rsidRPr="008F7EEB">
        <w:rPr>
          <w:color w:val="000000" w:themeColor="text1"/>
          <w:sz w:val="24"/>
          <w:szCs w:val="24"/>
        </w:rPr>
        <w:t xml:space="preserve">The data obtained including demographic clinical features relevant investigations, management offered and outcomes were analysed using Statistical Package for </w:t>
      </w:r>
      <w:r w:rsidR="00CE2CCE" w:rsidRPr="008F7EEB">
        <w:rPr>
          <w:color w:val="000000" w:themeColor="text1"/>
          <w:sz w:val="24"/>
          <w:szCs w:val="24"/>
        </w:rPr>
        <w:lastRenderedPageBreak/>
        <w:t xml:space="preserve">Social Sciences (SPSS) version 20.  Data results were expressed as percentages and means </w:t>
      </w:r>
      <w:r w:rsidR="00CE2CCE" w:rsidRPr="008F7EEB">
        <w:rPr>
          <w:rFonts w:cstheme="minorHAnsi"/>
          <w:color w:val="000000" w:themeColor="text1"/>
          <w:sz w:val="24"/>
          <w:szCs w:val="24"/>
        </w:rPr>
        <w:t>±</w:t>
      </w:r>
      <w:r w:rsidR="00CE2CCE" w:rsidRPr="008F7EEB">
        <w:rPr>
          <w:color w:val="000000" w:themeColor="text1"/>
          <w:sz w:val="24"/>
          <w:szCs w:val="24"/>
        </w:rPr>
        <w:t xml:space="preserve"> standard deviations.  A P-value of less than 0.05 was considered significant.</w:t>
      </w:r>
    </w:p>
    <w:p w:rsidR="00A161DD" w:rsidRPr="008F7EEB" w:rsidRDefault="00A161DD" w:rsidP="004666DD">
      <w:pPr>
        <w:spacing w:line="480" w:lineRule="auto"/>
        <w:rPr>
          <w:rFonts w:eastAsia="Times New Roman" w:cs="Arial"/>
          <w:color w:val="000000" w:themeColor="text1"/>
          <w:sz w:val="24"/>
          <w:szCs w:val="24"/>
        </w:rPr>
      </w:pPr>
    </w:p>
    <w:p w:rsidR="00620A8A" w:rsidRPr="00A940BA" w:rsidRDefault="00620A8A" w:rsidP="004666DD">
      <w:pPr>
        <w:spacing w:line="480" w:lineRule="auto"/>
        <w:rPr>
          <w:rFonts w:eastAsia="Times New Roman" w:cs="Arial"/>
          <w:b/>
          <w:color w:val="000000"/>
          <w:sz w:val="24"/>
          <w:szCs w:val="24"/>
        </w:rPr>
      </w:pPr>
      <w:r w:rsidRPr="00A940BA">
        <w:rPr>
          <w:rFonts w:eastAsia="Times New Roman" w:cs="Arial"/>
          <w:b/>
          <w:color w:val="000000"/>
          <w:sz w:val="24"/>
          <w:szCs w:val="24"/>
        </w:rPr>
        <w:t>RESULTS</w:t>
      </w:r>
    </w:p>
    <w:p w:rsidR="00620A8A" w:rsidRDefault="00620A8A" w:rsidP="004666DD">
      <w:pPr>
        <w:spacing w:after="0" w:line="480" w:lineRule="auto"/>
        <w:rPr>
          <w:rFonts w:eastAsia="Times New Roman" w:cs="Arial"/>
          <w:color w:val="000000"/>
          <w:sz w:val="24"/>
          <w:szCs w:val="24"/>
          <w:u w:val="single"/>
        </w:rPr>
      </w:pPr>
      <w:r w:rsidRPr="009F635F">
        <w:rPr>
          <w:rFonts w:eastAsia="Times New Roman" w:cs="Arial"/>
          <w:color w:val="000000"/>
          <w:sz w:val="24"/>
          <w:szCs w:val="24"/>
          <w:u w:val="single"/>
        </w:rPr>
        <w:t>BENIGN PROSTATIC HYPERPLASIA (BPH)</w:t>
      </w:r>
    </w:p>
    <w:p w:rsidR="00620A8A" w:rsidRPr="009F635F" w:rsidRDefault="008343E4" w:rsidP="004666DD">
      <w:pPr>
        <w:spacing w:after="0" w:line="480" w:lineRule="auto"/>
        <w:rPr>
          <w:rFonts w:eastAsia="Times New Roman" w:cs="Arial"/>
          <w:color w:val="000000"/>
          <w:sz w:val="24"/>
          <w:szCs w:val="24"/>
        </w:rPr>
      </w:pPr>
      <w:r>
        <w:rPr>
          <w:rFonts w:eastAsia="Times New Roman" w:cs="Arial"/>
          <w:color w:val="000000"/>
          <w:sz w:val="24"/>
          <w:szCs w:val="24"/>
        </w:rPr>
        <w:t>At Korle Bu Teaching Hospital (KBTH)</w:t>
      </w:r>
      <w:r w:rsidR="00620A8A" w:rsidRPr="009F635F">
        <w:rPr>
          <w:rFonts w:eastAsia="Times New Roman" w:cs="Arial"/>
          <w:color w:val="000000"/>
          <w:sz w:val="24"/>
          <w:szCs w:val="24"/>
        </w:rPr>
        <w:t xml:space="preserve">, clinical BPH is the leading cause </w:t>
      </w:r>
      <w:r w:rsidR="00620A8A">
        <w:rPr>
          <w:rFonts w:eastAsia="Times New Roman" w:cs="Arial"/>
          <w:color w:val="000000"/>
          <w:sz w:val="24"/>
          <w:szCs w:val="24"/>
        </w:rPr>
        <w:t xml:space="preserve">of retention of urine in adult men and haematuria in adult </w:t>
      </w:r>
      <w:r w:rsidR="006B76AA">
        <w:rPr>
          <w:rFonts w:eastAsia="Times New Roman" w:cs="Arial"/>
          <w:color w:val="000000"/>
          <w:sz w:val="24"/>
          <w:szCs w:val="24"/>
        </w:rPr>
        <w:t>men</w:t>
      </w:r>
      <w:r w:rsidR="00620A8A" w:rsidRPr="009F635F">
        <w:rPr>
          <w:rFonts w:eastAsia="Times New Roman" w:cs="Arial"/>
          <w:color w:val="000000"/>
          <w:sz w:val="24"/>
          <w:szCs w:val="24"/>
        </w:rPr>
        <w:t xml:space="preserve"> based on DRE</w:t>
      </w:r>
      <w:r w:rsidR="006B76AA">
        <w:rPr>
          <w:rFonts w:eastAsia="Times New Roman" w:cs="Arial"/>
          <w:color w:val="000000"/>
          <w:sz w:val="24"/>
          <w:szCs w:val="24"/>
        </w:rPr>
        <w:t xml:space="preserve"> ultrasound abdominal/transrectal</w:t>
      </w:r>
      <w:r w:rsidR="00386012">
        <w:rPr>
          <w:rFonts w:eastAsia="Times New Roman" w:cs="Arial"/>
          <w:color w:val="000000"/>
          <w:sz w:val="24"/>
          <w:szCs w:val="24"/>
        </w:rPr>
        <w:t xml:space="preserve"> CT scan</w:t>
      </w:r>
      <w:r w:rsidR="006B76AA">
        <w:rPr>
          <w:rFonts w:eastAsia="Times New Roman" w:cs="Arial"/>
          <w:color w:val="000000"/>
          <w:sz w:val="24"/>
          <w:szCs w:val="24"/>
        </w:rPr>
        <w:t>/MRI scan</w:t>
      </w:r>
      <w:r w:rsidR="00386012">
        <w:rPr>
          <w:rFonts w:eastAsia="Times New Roman" w:cs="Arial"/>
          <w:color w:val="000000"/>
          <w:sz w:val="24"/>
          <w:szCs w:val="24"/>
        </w:rPr>
        <w:t>, ur</w:t>
      </w:r>
      <w:r w:rsidR="00620A8A">
        <w:rPr>
          <w:rFonts w:eastAsia="Times New Roman" w:cs="Arial"/>
          <w:color w:val="000000"/>
          <w:sz w:val="24"/>
          <w:szCs w:val="24"/>
        </w:rPr>
        <w:t>ethrocystoscopy, biopsy and histology</w:t>
      </w:r>
      <w:r w:rsidR="007A4043">
        <w:rPr>
          <w:rFonts w:eastAsia="Times New Roman" w:cs="Arial"/>
          <w:color w:val="000000"/>
          <w:sz w:val="24"/>
          <w:szCs w:val="24"/>
          <w:vertAlign w:val="superscript"/>
        </w:rPr>
        <w:t>15</w:t>
      </w:r>
      <w:r w:rsidR="00620A8A">
        <w:rPr>
          <w:rFonts w:eastAsia="Times New Roman" w:cs="Arial"/>
          <w:color w:val="000000"/>
          <w:sz w:val="24"/>
          <w:szCs w:val="24"/>
          <w:vertAlign w:val="superscript"/>
        </w:rPr>
        <w:t>,</w:t>
      </w:r>
      <w:r w:rsidR="007A4043">
        <w:rPr>
          <w:rFonts w:eastAsia="Times New Roman" w:cs="Arial"/>
          <w:color w:val="000000"/>
          <w:sz w:val="24"/>
          <w:szCs w:val="24"/>
          <w:vertAlign w:val="superscript"/>
        </w:rPr>
        <w:t xml:space="preserve"> 16, </w:t>
      </w:r>
      <w:r w:rsidR="007A4043" w:rsidRPr="007A4043">
        <w:rPr>
          <w:rFonts w:eastAsia="Times New Roman" w:cs="Arial"/>
          <w:color w:val="000000"/>
          <w:sz w:val="24"/>
          <w:szCs w:val="24"/>
          <w:vertAlign w:val="superscript"/>
        </w:rPr>
        <w:t>17</w:t>
      </w:r>
      <w:r>
        <w:rPr>
          <w:rFonts w:eastAsia="Times New Roman" w:cs="Arial"/>
          <w:color w:val="000000"/>
          <w:sz w:val="24"/>
          <w:szCs w:val="24"/>
        </w:rPr>
        <w:t xml:space="preserve"> as shown in Fig 1, Fig 2, 3</w:t>
      </w:r>
      <w:r w:rsidR="00386012">
        <w:rPr>
          <w:rFonts w:eastAsia="Times New Roman" w:cs="Arial"/>
          <w:color w:val="000000"/>
          <w:sz w:val="24"/>
          <w:szCs w:val="24"/>
        </w:rPr>
        <w:t>.</w:t>
      </w:r>
      <w:r w:rsidR="00386012" w:rsidRPr="009F635F">
        <w:rPr>
          <w:rFonts w:eastAsia="Times New Roman" w:cs="Arial"/>
          <w:color w:val="000000"/>
          <w:sz w:val="24"/>
          <w:szCs w:val="24"/>
        </w:rPr>
        <w:t xml:space="preserve">  </w:t>
      </w:r>
    </w:p>
    <w:p w:rsidR="00620A8A" w:rsidRPr="00801B2E" w:rsidRDefault="00355642" w:rsidP="004666DD">
      <w:pPr>
        <w:spacing w:after="0" w:line="480" w:lineRule="auto"/>
        <w:rPr>
          <w:rFonts w:eastAsia="Times New Roman" w:cs="Arial"/>
          <w:color w:val="000000"/>
          <w:sz w:val="24"/>
          <w:szCs w:val="24"/>
          <w:vertAlign w:val="superscript"/>
        </w:rPr>
      </w:pPr>
      <w:r>
        <w:rPr>
          <w:rFonts w:eastAsia="Times New Roman" w:cs="Arial"/>
          <w:color w:val="000000"/>
          <w:sz w:val="24"/>
          <w:szCs w:val="24"/>
        </w:rPr>
        <w:t>In</w:t>
      </w:r>
      <w:r w:rsidR="00620A8A" w:rsidRPr="00D97654">
        <w:rPr>
          <w:rFonts w:eastAsia="Times New Roman" w:cs="Arial"/>
          <w:color w:val="000000"/>
          <w:sz w:val="24"/>
          <w:szCs w:val="24"/>
        </w:rPr>
        <w:t xml:space="preserve"> </w:t>
      </w:r>
      <w:r w:rsidR="00386012">
        <w:rPr>
          <w:rFonts w:eastAsia="Times New Roman" w:cs="Arial"/>
          <w:color w:val="000000"/>
          <w:sz w:val="24"/>
          <w:szCs w:val="24"/>
        </w:rPr>
        <w:t xml:space="preserve">the </w:t>
      </w:r>
      <w:r w:rsidR="00620A8A" w:rsidRPr="00D97654">
        <w:rPr>
          <w:rFonts w:eastAsia="Times New Roman" w:cs="Arial"/>
          <w:color w:val="000000"/>
          <w:sz w:val="24"/>
          <w:szCs w:val="24"/>
        </w:rPr>
        <w:t>Ghana Study</w:t>
      </w:r>
      <w:r w:rsidR="007A4043">
        <w:rPr>
          <w:rFonts w:eastAsia="Times New Roman" w:cs="Arial"/>
          <w:color w:val="000000"/>
          <w:sz w:val="24"/>
          <w:szCs w:val="24"/>
          <w:vertAlign w:val="superscript"/>
        </w:rPr>
        <w:t>18</w:t>
      </w:r>
      <w:r w:rsidR="00620A8A" w:rsidRPr="00D97654">
        <w:rPr>
          <w:rFonts w:eastAsia="Times New Roman" w:cs="Arial"/>
          <w:color w:val="000000"/>
          <w:sz w:val="24"/>
          <w:szCs w:val="24"/>
        </w:rPr>
        <w:t xml:space="preserve"> the burden of BPH/BPE and LUTS </w:t>
      </w:r>
      <w:r>
        <w:rPr>
          <w:rFonts w:eastAsia="Times New Roman" w:cs="Arial"/>
          <w:color w:val="000000"/>
          <w:sz w:val="24"/>
          <w:szCs w:val="24"/>
        </w:rPr>
        <w:t xml:space="preserve">in </w:t>
      </w:r>
      <w:r w:rsidR="00620A8A" w:rsidRPr="00D97654">
        <w:rPr>
          <w:rFonts w:eastAsia="Times New Roman" w:cs="Arial"/>
          <w:color w:val="000000"/>
          <w:sz w:val="24"/>
          <w:szCs w:val="24"/>
        </w:rPr>
        <w:t>1038 subjects aged between 50 – 74 yea</w:t>
      </w:r>
      <w:r w:rsidR="00620A8A">
        <w:rPr>
          <w:rFonts w:eastAsia="Times New Roman" w:cs="Arial"/>
          <w:color w:val="000000"/>
          <w:sz w:val="24"/>
          <w:szCs w:val="24"/>
        </w:rPr>
        <w:t xml:space="preserve">rs </w:t>
      </w:r>
      <w:r w:rsidR="00AD2D34">
        <w:rPr>
          <w:rFonts w:eastAsia="Times New Roman" w:cs="Arial"/>
          <w:color w:val="000000"/>
          <w:sz w:val="24"/>
          <w:szCs w:val="24"/>
        </w:rPr>
        <w:t xml:space="preserve">who </w:t>
      </w:r>
      <w:r>
        <w:rPr>
          <w:rFonts w:eastAsia="Times New Roman" w:cs="Arial"/>
          <w:color w:val="000000"/>
          <w:sz w:val="24"/>
          <w:szCs w:val="24"/>
        </w:rPr>
        <w:t>were scr</w:t>
      </w:r>
      <w:r w:rsidR="00801B2E">
        <w:rPr>
          <w:rFonts w:eastAsia="Times New Roman" w:cs="Arial"/>
          <w:color w:val="000000"/>
          <w:sz w:val="24"/>
          <w:szCs w:val="24"/>
        </w:rPr>
        <w:t xml:space="preserve">eened for PC + BPH/BPE revealed </w:t>
      </w:r>
      <w:r w:rsidR="00801B2E" w:rsidRPr="00D97654">
        <w:rPr>
          <w:rFonts w:eastAsia="Times New Roman" w:cs="Arial"/>
          <w:color w:val="000000"/>
          <w:sz w:val="24"/>
          <w:szCs w:val="24"/>
        </w:rPr>
        <w:t>73</w:t>
      </w:r>
      <w:r w:rsidR="00801B2E">
        <w:rPr>
          <w:rFonts w:eastAsia="Times New Roman" w:cs="Arial"/>
          <w:color w:val="000000"/>
          <w:sz w:val="24"/>
          <w:szCs w:val="24"/>
        </w:rPr>
        <w:t xml:space="preserve"> c</w:t>
      </w:r>
      <w:r>
        <w:rPr>
          <w:rFonts w:eastAsia="Times New Roman" w:cs="Arial"/>
          <w:color w:val="000000"/>
          <w:sz w:val="24"/>
          <w:szCs w:val="24"/>
        </w:rPr>
        <w:t xml:space="preserve">ases </w:t>
      </w:r>
      <w:r w:rsidR="00801B2E">
        <w:rPr>
          <w:rFonts w:eastAsia="Times New Roman" w:cs="Arial"/>
          <w:color w:val="000000"/>
          <w:sz w:val="24"/>
          <w:szCs w:val="24"/>
        </w:rPr>
        <w:t xml:space="preserve">with </w:t>
      </w:r>
      <w:r w:rsidR="00620A8A" w:rsidRPr="00D97654">
        <w:rPr>
          <w:rFonts w:eastAsia="Times New Roman" w:cs="Arial"/>
          <w:color w:val="000000"/>
          <w:sz w:val="24"/>
          <w:szCs w:val="24"/>
        </w:rPr>
        <w:t>P</w:t>
      </w:r>
      <w:r w:rsidR="00620A8A">
        <w:rPr>
          <w:rFonts w:eastAsia="Times New Roman" w:cs="Arial"/>
          <w:color w:val="000000"/>
          <w:sz w:val="24"/>
          <w:szCs w:val="24"/>
        </w:rPr>
        <w:t>C</w:t>
      </w:r>
      <w:r w:rsidR="00620A8A" w:rsidRPr="00D97654">
        <w:rPr>
          <w:rFonts w:eastAsia="Times New Roman" w:cs="Arial"/>
          <w:color w:val="000000"/>
          <w:sz w:val="24"/>
          <w:szCs w:val="24"/>
        </w:rPr>
        <w:t xml:space="preserve"> and </w:t>
      </w:r>
      <w:r>
        <w:rPr>
          <w:rFonts w:eastAsia="Times New Roman" w:cs="Arial"/>
          <w:color w:val="000000"/>
          <w:sz w:val="24"/>
          <w:szCs w:val="24"/>
        </w:rPr>
        <w:t>cas</w:t>
      </w:r>
      <w:r w:rsidR="00AD2D34">
        <w:rPr>
          <w:rFonts w:eastAsia="Times New Roman" w:cs="Arial"/>
          <w:color w:val="000000"/>
          <w:sz w:val="24"/>
          <w:szCs w:val="24"/>
        </w:rPr>
        <w:t>es with PSA ≥20ng/ml were</w:t>
      </w:r>
      <w:r w:rsidR="00801B2E">
        <w:rPr>
          <w:rFonts w:eastAsia="Times New Roman" w:cs="Arial"/>
          <w:color w:val="000000"/>
          <w:sz w:val="24"/>
          <w:szCs w:val="24"/>
        </w:rPr>
        <w:t xml:space="preserve"> 15</w:t>
      </w:r>
      <w:r>
        <w:rPr>
          <w:rFonts w:eastAsia="Times New Roman" w:cs="Arial"/>
          <w:color w:val="000000"/>
          <w:sz w:val="24"/>
          <w:szCs w:val="24"/>
        </w:rPr>
        <w:t xml:space="preserve">.   These were excluded leaving 950 men screened for BPH/BPE.   The results are shown in </w:t>
      </w:r>
      <w:r w:rsidR="00620A8A" w:rsidRPr="00D97654">
        <w:rPr>
          <w:rFonts w:eastAsia="Times New Roman" w:cs="Arial"/>
          <w:color w:val="000000"/>
          <w:sz w:val="24"/>
          <w:szCs w:val="24"/>
        </w:rPr>
        <w:t>Table 2</w:t>
      </w:r>
      <w:r>
        <w:rPr>
          <w:rFonts w:eastAsia="Times New Roman" w:cs="Arial"/>
          <w:color w:val="000000"/>
          <w:sz w:val="24"/>
          <w:szCs w:val="24"/>
        </w:rPr>
        <w:t xml:space="preserve">, </w:t>
      </w:r>
      <w:r w:rsidR="00620A8A" w:rsidRPr="00D97654">
        <w:rPr>
          <w:rFonts w:eastAsia="Times New Roman" w:cs="Arial"/>
          <w:color w:val="000000"/>
          <w:sz w:val="24"/>
          <w:szCs w:val="24"/>
        </w:rPr>
        <w:t>Table 3</w:t>
      </w:r>
      <w:r>
        <w:rPr>
          <w:rFonts w:eastAsia="Times New Roman" w:cs="Arial"/>
          <w:color w:val="000000"/>
          <w:sz w:val="24"/>
          <w:szCs w:val="24"/>
        </w:rPr>
        <w:t xml:space="preserve"> and Table 4</w:t>
      </w:r>
      <w:r w:rsidR="00620A8A" w:rsidRPr="00D97654">
        <w:rPr>
          <w:rFonts w:eastAsia="Times New Roman" w:cs="Arial"/>
          <w:color w:val="000000"/>
          <w:sz w:val="24"/>
          <w:szCs w:val="24"/>
        </w:rPr>
        <w:t>.</w:t>
      </w:r>
      <w:r w:rsidR="003F6226">
        <w:rPr>
          <w:rFonts w:eastAsia="Times New Roman" w:cs="Arial"/>
          <w:color w:val="000000"/>
          <w:sz w:val="24"/>
          <w:szCs w:val="24"/>
        </w:rPr>
        <w:t xml:space="preserve">  </w:t>
      </w:r>
      <w:r>
        <w:rPr>
          <w:rFonts w:eastAsia="Times New Roman" w:cs="Arial"/>
          <w:color w:val="000000"/>
          <w:sz w:val="24"/>
          <w:szCs w:val="24"/>
        </w:rPr>
        <w:t xml:space="preserve">The prevalence of BPH was 20 to </w:t>
      </w:r>
      <w:r w:rsidR="00620A8A">
        <w:rPr>
          <w:rFonts w:eastAsia="Times New Roman" w:cs="Arial"/>
          <w:color w:val="000000"/>
          <w:sz w:val="24"/>
          <w:szCs w:val="24"/>
        </w:rPr>
        <w:t>62% depending on the parameter used.  The prevalence</w:t>
      </w:r>
      <w:r>
        <w:rPr>
          <w:rFonts w:eastAsia="Times New Roman" w:cs="Arial"/>
          <w:color w:val="000000"/>
          <w:sz w:val="24"/>
          <w:szCs w:val="24"/>
        </w:rPr>
        <w:t xml:space="preserve"> of BPH</w:t>
      </w:r>
      <w:r w:rsidR="00620A8A">
        <w:rPr>
          <w:rFonts w:eastAsia="Times New Roman" w:cs="Arial"/>
          <w:color w:val="000000"/>
          <w:sz w:val="24"/>
          <w:szCs w:val="24"/>
        </w:rPr>
        <w:t xml:space="preserve"> rises to 35 – 60% in </w:t>
      </w:r>
      <w:r>
        <w:rPr>
          <w:rFonts w:eastAsia="Times New Roman" w:cs="Arial"/>
          <w:color w:val="000000"/>
          <w:sz w:val="24"/>
          <w:szCs w:val="24"/>
        </w:rPr>
        <w:t>individuals aged over 70 years</w:t>
      </w:r>
      <w:r w:rsidR="00620A8A">
        <w:rPr>
          <w:rFonts w:eastAsia="Times New Roman" w:cs="Arial"/>
          <w:color w:val="000000"/>
          <w:sz w:val="24"/>
          <w:szCs w:val="24"/>
        </w:rPr>
        <w:t>.</w:t>
      </w:r>
      <w:r w:rsidR="00AC3AD9">
        <w:rPr>
          <w:rFonts w:eastAsia="Times New Roman" w:cs="Arial"/>
          <w:color w:val="000000"/>
          <w:sz w:val="24"/>
          <w:szCs w:val="24"/>
        </w:rPr>
        <w:t xml:space="preserve">  </w:t>
      </w:r>
      <w:r w:rsidR="00620A8A">
        <w:rPr>
          <w:rFonts w:eastAsia="Times New Roman" w:cs="Arial"/>
          <w:color w:val="000000"/>
          <w:sz w:val="24"/>
          <w:szCs w:val="24"/>
        </w:rPr>
        <w:t>The estimated prevalence of BPH /BPE in Greater Accra 2000 census with 2,905,736 population</w:t>
      </w:r>
      <w:r w:rsidR="00AC3AD9">
        <w:rPr>
          <w:rFonts w:eastAsia="Times New Roman" w:cs="Arial"/>
          <w:color w:val="000000"/>
          <w:sz w:val="24"/>
          <w:szCs w:val="24"/>
        </w:rPr>
        <w:t xml:space="preserve"> </w:t>
      </w:r>
      <w:r>
        <w:rPr>
          <w:rFonts w:eastAsia="Times New Roman" w:cs="Arial"/>
          <w:color w:val="000000"/>
          <w:sz w:val="24"/>
          <w:szCs w:val="24"/>
        </w:rPr>
        <w:t>in men a</w:t>
      </w:r>
      <w:r w:rsidR="00620A8A">
        <w:rPr>
          <w:rFonts w:eastAsia="Times New Roman" w:cs="Arial"/>
          <w:color w:val="000000"/>
          <w:sz w:val="24"/>
          <w:szCs w:val="24"/>
        </w:rPr>
        <w:t>ged 50 – 74 being 125,443</w:t>
      </w:r>
      <w:r>
        <w:rPr>
          <w:rFonts w:eastAsia="Times New Roman" w:cs="Arial"/>
          <w:color w:val="000000"/>
          <w:sz w:val="24"/>
          <w:szCs w:val="24"/>
        </w:rPr>
        <w:t xml:space="preserve">.  The prevalence of </w:t>
      </w:r>
      <w:r w:rsidR="00620A8A">
        <w:rPr>
          <w:rFonts w:eastAsia="Times New Roman" w:cs="Arial"/>
          <w:color w:val="000000"/>
          <w:sz w:val="24"/>
          <w:szCs w:val="24"/>
        </w:rPr>
        <w:t xml:space="preserve">BPH </w:t>
      </w:r>
      <w:r>
        <w:rPr>
          <w:rFonts w:eastAsia="Times New Roman" w:cs="Arial"/>
          <w:color w:val="000000"/>
          <w:sz w:val="24"/>
          <w:szCs w:val="24"/>
        </w:rPr>
        <w:t xml:space="preserve">cases </w:t>
      </w:r>
      <w:r w:rsidR="00F32DFD">
        <w:rPr>
          <w:rFonts w:eastAsia="Times New Roman" w:cs="Arial"/>
          <w:color w:val="000000"/>
          <w:sz w:val="24"/>
          <w:szCs w:val="24"/>
        </w:rPr>
        <w:t>was</w:t>
      </w:r>
      <w:r w:rsidR="00620A8A">
        <w:rPr>
          <w:rFonts w:eastAsia="Times New Roman" w:cs="Arial"/>
          <w:color w:val="000000"/>
          <w:sz w:val="24"/>
          <w:szCs w:val="24"/>
        </w:rPr>
        <w:t xml:space="preserve"> 77,775</w:t>
      </w:r>
      <w:r w:rsidR="00F32DFD">
        <w:rPr>
          <w:rFonts w:eastAsia="Times New Roman" w:cs="Arial"/>
          <w:color w:val="000000"/>
          <w:sz w:val="24"/>
          <w:szCs w:val="24"/>
        </w:rPr>
        <w:t>(62%)</w:t>
      </w:r>
      <w:r w:rsidR="00620A8A">
        <w:rPr>
          <w:rFonts w:eastAsia="Times New Roman" w:cs="Arial"/>
          <w:color w:val="000000"/>
          <w:sz w:val="24"/>
          <w:szCs w:val="24"/>
        </w:rPr>
        <w:t xml:space="preserve"> BPH on DRE and 20% sympt</w:t>
      </w:r>
      <w:r>
        <w:rPr>
          <w:rFonts w:eastAsia="Times New Roman" w:cs="Arial"/>
          <w:color w:val="000000"/>
          <w:sz w:val="24"/>
          <w:szCs w:val="24"/>
        </w:rPr>
        <w:t>omatic BPH with IPSS 8 – 35 making</w:t>
      </w:r>
      <w:r w:rsidR="00620A8A">
        <w:rPr>
          <w:rFonts w:eastAsia="Times New Roman" w:cs="Arial"/>
          <w:color w:val="000000"/>
          <w:sz w:val="24"/>
          <w:szCs w:val="24"/>
        </w:rPr>
        <w:t xml:space="preserve"> 20% of 125,443</w:t>
      </w:r>
      <w:r>
        <w:rPr>
          <w:rFonts w:eastAsia="Times New Roman" w:cs="Arial"/>
          <w:color w:val="000000"/>
          <w:sz w:val="24"/>
          <w:szCs w:val="24"/>
        </w:rPr>
        <w:t xml:space="preserve"> that is,</w:t>
      </w:r>
      <w:r w:rsidR="00620A8A">
        <w:rPr>
          <w:rFonts w:eastAsia="Times New Roman" w:cs="Arial"/>
          <w:color w:val="000000"/>
          <w:sz w:val="24"/>
          <w:szCs w:val="24"/>
        </w:rPr>
        <w:t xml:space="preserve"> 25,089.  This makes BPH of public health concern </w:t>
      </w:r>
      <w:r w:rsidR="00F32DFD">
        <w:rPr>
          <w:rFonts w:eastAsia="Times New Roman" w:cs="Arial"/>
          <w:color w:val="000000"/>
          <w:sz w:val="24"/>
          <w:szCs w:val="24"/>
        </w:rPr>
        <w:t>(</w:t>
      </w:r>
      <w:r w:rsidR="00620A8A">
        <w:rPr>
          <w:rFonts w:eastAsia="Times New Roman" w:cs="Arial"/>
          <w:color w:val="000000"/>
          <w:sz w:val="24"/>
          <w:szCs w:val="24"/>
        </w:rPr>
        <w:t>Fig 3</w:t>
      </w:r>
      <w:r w:rsidR="00F32DFD">
        <w:rPr>
          <w:rFonts w:eastAsia="Times New Roman" w:cs="Arial"/>
          <w:color w:val="000000"/>
          <w:sz w:val="24"/>
          <w:szCs w:val="24"/>
        </w:rPr>
        <w:t>)</w:t>
      </w:r>
      <w:r w:rsidR="00620A8A">
        <w:rPr>
          <w:rFonts w:eastAsia="Times New Roman" w:cs="Arial"/>
          <w:color w:val="000000"/>
          <w:sz w:val="24"/>
          <w:szCs w:val="24"/>
        </w:rPr>
        <w:t>.</w:t>
      </w:r>
    </w:p>
    <w:p w:rsidR="00620A8A" w:rsidRPr="006E3140" w:rsidRDefault="00620A8A" w:rsidP="004666DD">
      <w:pPr>
        <w:spacing w:line="480" w:lineRule="auto"/>
        <w:rPr>
          <w:sz w:val="24"/>
          <w:szCs w:val="24"/>
        </w:rPr>
      </w:pPr>
      <w:r w:rsidRPr="006E3140">
        <w:rPr>
          <w:sz w:val="24"/>
          <w:szCs w:val="24"/>
        </w:rPr>
        <w:t>In South Africa</w:t>
      </w:r>
      <w:r>
        <w:rPr>
          <w:sz w:val="24"/>
          <w:szCs w:val="24"/>
        </w:rPr>
        <w:t>, report</w:t>
      </w:r>
      <w:r w:rsidR="00AC3AD9">
        <w:rPr>
          <w:sz w:val="24"/>
          <w:szCs w:val="24"/>
        </w:rPr>
        <w:t>s</w:t>
      </w:r>
      <w:r>
        <w:rPr>
          <w:sz w:val="24"/>
          <w:szCs w:val="24"/>
        </w:rPr>
        <w:t xml:space="preserve"> by South African Urological Asso</w:t>
      </w:r>
      <w:r w:rsidR="00F32DFD">
        <w:rPr>
          <w:sz w:val="24"/>
          <w:szCs w:val="24"/>
        </w:rPr>
        <w:t xml:space="preserve">ciation indicate that 1:3 men </w:t>
      </w:r>
      <w:r>
        <w:rPr>
          <w:sz w:val="24"/>
          <w:szCs w:val="24"/>
        </w:rPr>
        <w:t xml:space="preserve"> 45 </w:t>
      </w:r>
      <w:r w:rsidR="00F32DFD">
        <w:rPr>
          <w:sz w:val="24"/>
          <w:szCs w:val="24"/>
        </w:rPr>
        <w:t>years</w:t>
      </w:r>
      <w:r w:rsidR="00AC3AD9">
        <w:rPr>
          <w:sz w:val="24"/>
          <w:szCs w:val="24"/>
        </w:rPr>
        <w:t xml:space="preserve"> </w:t>
      </w:r>
      <w:r w:rsidR="00F32DFD">
        <w:rPr>
          <w:sz w:val="24"/>
          <w:szCs w:val="24"/>
        </w:rPr>
        <w:t xml:space="preserve">old </w:t>
      </w:r>
      <w:r w:rsidR="00AC3AD9">
        <w:rPr>
          <w:sz w:val="24"/>
          <w:szCs w:val="24"/>
        </w:rPr>
        <w:t>experience</w:t>
      </w:r>
      <w:r>
        <w:rPr>
          <w:sz w:val="24"/>
          <w:szCs w:val="24"/>
        </w:rPr>
        <w:t xml:space="preserve"> LUTS due to BPH and 50% of men at 60 years have symptoms due to BPH and have issued guidelines </w:t>
      </w:r>
      <w:r w:rsidR="00AC3AD9">
        <w:rPr>
          <w:sz w:val="24"/>
          <w:szCs w:val="24"/>
        </w:rPr>
        <w:t>for management</w:t>
      </w:r>
      <w:r w:rsidR="00081BAA">
        <w:rPr>
          <w:sz w:val="24"/>
          <w:szCs w:val="24"/>
          <w:vertAlign w:val="superscript"/>
        </w:rPr>
        <w:t>11,</w:t>
      </w:r>
      <w:r w:rsidR="007A4043">
        <w:rPr>
          <w:sz w:val="24"/>
          <w:szCs w:val="24"/>
          <w:vertAlign w:val="superscript"/>
        </w:rPr>
        <w:t>12</w:t>
      </w:r>
      <w:r w:rsidR="00F32DFD">
        <w:rPr>
          <w:sz w:val="24"/>
          <w:szCs w:val="24"/>
        </w:rPr>
        <w:t>.</w:t>
      </w:r>
      <w:r w:rsidRPr="0074537E">
        <w:rPr>
          <w:sz w:val="24"/>
          <w:szCs w:val="24"/>
          <w:vertAlign w:val="superscript"/>
        </w:rPr>
        <w:t xml:space="preserve"> </w:t>
      </w:r>
    </w:p>
    <w:p w:rsidR="00620A8A" w:rsidRDefault="00936AA4" w:rsidP="004666DD">
      <w:pPr>
        <w:spacing w:after="0" w:line="480" w:lineRule="auto"/>
        <w:rPr>
          <w:sz w:val="24"/>
          <w:szCs w:val="24"/>
          <w:u w:val="single"/>
        </w:rPr>
      </w:pPr>
      <w:r>
        <w:rPr>
          <w:sz w:val="24"/>
          <w:szCs w:val="24"/>
          <w:u w:val="single"/>
        </w:rPr>
        <w:t>CO-EXISTENCE</w:t>
      </w:r>
      <w:r w:rsidR="00620A8A">
        <w:rPr>
          <w:sz w:val="24"/>
          <w:szCs w:val="24"/>
          <w:u w:val="single"/>
        </w:rPr>
        <w:t xml:space="preserve"> OF </w:t>
      </w:r>
      <w:r w:rsidR="003F6226">
        <w:rPr>
          <w:sz w:val="24"/>
          <w:szCs w:val="24"/>
          <w:u w:val="single"/>
        </w:rPr>
        <w:t>BPH and PC</w:t>
      </w:r>
    </w:p>
    <w:p w:rsidR="00620A8A" w:rsidRPr="00DC20F1" w:rsidRDefault="00620A8A" w:rsidP="004666DD">
      <w:pPr>
        <w:spacing w:after="0" w:line="480" w:lineRule="auto"/>
        <w:rPr>
          <w:sz w:val="24"/>
          <w:szCs w:val="24"/>
        </w:rPr>
      </w:pPr>
      <w:r w:rsidRPr="006E3140">
        <w:rPr>
          <w:sz w:val="24"/>
          <w:szCs w:val="24"/>
        </w:rPr>
        <w:lastRenderedPageBreak/>
        <w:t xml:space="preserve">The </w:t>
      </w:r>
      <w:r>
        <w:rPr>
          <w:sz w:val="24"/>
          <w:szCs w:val="24"/>
        </w:rPr>
        <w:t>Ghana Study</w:t>
      </w:r>
      <w:r w:rsidR="00F13DCB">
        <w:rPr>
          <w:sz w:val="24"/>
          <w:szCs w:val="24"/>
          <w:vertAlign w:val="superscript"/>
        </w:rPr>
        <w:t>19</w:t>
      </w:r>
      <w:proofErr w:type="gramStart"/>
      <w:r w:rsidR="00F13DCB">
        <w:rPr>
          <w:sz w:val="24"/>
          <w:szCs w:val="24"/>
          <w:vertAlign w:val="superscript"/>
        </w:rPr>
        <w:t>,</w:t>
      </w:r>
      <w:r w:rsidR="00936AA4">
        <w:rPr>
          <w:sz w:val="24"/>
          <w:szCs w:val="24"/>
          <w:vertAlign w:val="superscript"/>
        </w:rPr>
        <w:t>20</w:t>
      </w:r>
      <w:proofErr w:type="gramEnd"/>
      <w:r w:rsidRPr="00993721">
        <w:rPr>
          <w:sz w:val="24"/>
          <w:szCs w:val="24"/>
          <w:vertAlign w:val="superscript"/>
        </w:rPr>
        <w:t xml:space="preserve"> </w:t>
      </w:r>
      <w:r>
        <w:rPr>
          <w:sz w:val="24"/>
          <w:szCs w:val="24"/>
        </w:rPr>
        <w:t>established that all the 73 cases of PC had in addition histological evidence of BPH.  Armenian</w:t>
      </w:r>
      <w:r w:rsidR="00936AA4">
        <w:rPr>
          <w:sz w:val="24"/>
          <w:szCs w:val="24"/>
          <w:vertAlign w:val="superscript"/>
        </w:rPr>
        <w:t>6</w:t>
      </w:r>
      <w:r>
        <w:rPr>
          <w:sz w:val="24"/>
          <w:szCs w:val="24"/>
        </w:rPr>
        <w:t xml:space="preserve"> found that retrospective and prospective studies of patients being followed and treated for symptomatic BPH show</w:t>
      </w:r>
      <w:r w:rsidR="00936AA4">
        <w:rPr>
          <w:sz w:val="24"/>
          <w:szCs w:val="24"/>
        </w:rPr>
        <w:t xml:space="preserve">ed evidence </w:t>
      </w:r>
      <w:r>
        <w:rPr>
          <w:sz w:val="24"/>
          <w:szCs w:val="24"/>
        </w:rPr>
        <w:t>PC.  It has also been found that BPH and PC show parallel prevalence</w:t>
      </w:r>
      <w:r>
        <w:rPr>
          <w:sz w:val="24"/>
          <w:szCs w:val="24"/>
          <w:vertAlign w:val="superscript"/>
        </w:rPr>
        <w:t>7</w:t>
      </w:r>
      <w:r>
        <w:rPr>
          <w:sz w:val="24"/>
          <w:szCs w:val="24"/>
        </w:rPr>
        <w:t xml:space="preserve"> and that autopsy studies show 82.2% BPH and 43.6%</w:t>
      </w:r>
      <w:r w:rsidR="00081BAA">
        <w:rPr>
          <w:sz w:val="24"/>
          <w:szCs w:val="24"/>
        </w:rPr>
        <w:t xml:space="preserve"> -</w:t>
      </w:r>
      <w:r w:rsidR="00361C54">
        <w:rPr>
          <w:sz w:val="24"/>
          <w:szCs w:val="24"/>
        </w:rPr>
        <w:t xml:space="preserve"> 80% </w:t>
      </w:r>
      <w:r>
        <w:rPr>
          <w:sz w:val="24"/>
          <w:szCs w:val="24"/>
        </w:rPr>
        <w:t>PC at 90</w:t>
      </w:r>
      <w:r w:rsidR="003F6226">
        <w:rPr>
          <w:sz w:val="24"/>
          <w:szCs w:val="24"/>
        </w:rPr>
        <w:t xml:space="preserve"> years.  PC has been found in 3</w:t>
      </w:r>
      <w:r>
        <w:rPr>
          <w:sz w:val="24"/>
          <w:szCs w:val="24"/>
        </w:rPr>
        <w:t xml:space="preserve">% </w:t>
      </w:r>
      <w:r w:rsidR="00AC3AD9">
        <w:rPr>
          <w:sz w:val="24"/>
          <w:szCs w:val="24"/>
        </w:rPr>
        <w:t xml:space="preserve">–20% of </w:t>
      </w:r>
      <w:r>
        <w:rPr>
          <w:sz w:val="24"/>
          <w:szCs w:val="24"/>
        </w:rPr>
        <w:t>TURP chippings for BPH.  Clinical evidence for PC in surgically treated BPH is &gt;3% and so it is important to exclude PC in patients being treated for BPH</w:t>
      </w:r>
      <w:r w:rsidR="0074537E">
        <w:rPr>
          <w:sz w:val="24"/>
          <w:szCs w:val="24"/>
        </w:rPr>
        <w:t>.   In Japan</w:t>
      </w:r>
      <w:r w:rsidR="00DC20F1">
        <w:rPr>
          <w:sz w:val="24"/>
          <w:szCs w:val="24"/>
        </w:rPr>
        <w:t>,</w:t>
      </w:r>
      <w:r>
        <w:rPr>
          <w:sz w:val="24"/>
          <w:szCs w:val="24"/>
        </w:rPr>
        <w:t xml:space="preserve"> Suzuki</w:t>
      </w:r>
      <w:r>
        <w:rPr>
          <w:sz w:val="24"/>
          <w:szCs w:val="24"/>
          <w:vertAlign w:val="superscript"/>
        </w:rPr>
        <w:t xml:space="preserve">8 </w:t>
      </w:r>
      <w:r>
        <w:rPr>
          <w:sz w:val="24"/>
          <w:szCs w:val="24"/>
        </w:rPr>
        <w:t xml:space="preserve">reported that the prevalence of BPH by autopsy studies is at 40 years 20%, 50 years 40%, 60 years 70% and 70 years 80%.  PC prevalence at 90 years 100%, </w:t>
      </w:r>
      <w:r w:rsidR="00936AA4">
        <w:rPr>
          <w:sz w:val="24"/>
          <w:szCs w:val="24"/>
        </w:rPr>
        <w:t>70 years 40%,</w:t>
      </w:r>
      <w:r w:rsidR="00936AA4" w:rsidRPr="00936AA4">
        <w:rPr>
          <w:sz w:val="24"/>
          <w:szCs w:val="24"/>
        </w:rPr>
        <w:t xml:space="preserve"> </w:t>
      </w:r>
      <w:r w:rsidR="00936AA4">
        <w:rPr>
          <w:sz w:val="24"/>
          <w:szCs w:val="24"/>
        </w:rPr>
        <w:t xml:space="preserve">and </w:t>
      </w:r>
      <w:r>
        <w:rPr>
          <w:sz w:val="24"/>
          <w:szCs w:val="24"/>
        </w:rPr>
        <w:t>50 years 30%</w:t>
      </w:r>
      <w:r w:rsidR="00936AA4">
        <w:rPr>
          <w:sz w:val="24"/>
          <w:szCs w:val="24"/>
        </w:rPr>
        <w:t xml:space="preserve">, </w:t>
      </w:r>
      <w:r>
        <w:rPr>
          <w:sz w:val="24"/>
          <w:szCs w:val="24"/>
        </w:rPr>
        <w:t>confirming the importance of looking for PC in clinical BPH cases</w:t>
      </w:r>
      <w:r w:rsidR="00361C54">
        <w:rPr>
          <w:sz w:val="24"/>
          <w:szCs w:val="24"/>
        </w:rPr>
        <w:t xml:space="preserve"> by</w:t>
      </w:r>
      <w:r w:rsidR="00801B2E">
        <w:rPr>
          <w:sz w:val="24"/>
          <w:szCs w:val="24"/>
        </w:rPr>
        <w:t xml:space="preserve"> biopsy and</w:t>
      </w:r>
      <w:r w:rsidR="00361C54">
        <w:rPr>
          <w:sz w:val="24"/>
          <w:szCs w:val="24"/>
        </w:rPr>
        <w:t xml:space="preserve"> histological </w:t>
      </w:r>
      <w:r w:rsidR="00801B2E">
        <w:rPr>
          <w:sz w:val="24"/>
          <w:szCs w:val="24"/>
        </w:rPr>
        <w:t xml:space="preserve">studies </w:t>
      </w:r>
      <w:r w:rsidR="00361C54">
        <w:rPr>
          <w:sz w:val="24"/>
          <w:szCs w:val="24"/>
        </w:rPr>
        <w:t>in cases with abnormal DRE and PSA</w:t>
      </w:r>
      <w:r w:rsidR="00DC20F1">
        <w:rPr>
          <w:sz w:val="24"/>
          <w:szCs w:val="24"/>
          <w:vertAlign w:val="superscript"/>
        </w:rPr>
        <w:t>5,6,7,8,19,</w:t>
      </w:r>
      <w:r w:rsidR="00AC3AD9" w:rsidRPr="00AC3AD9">
        <w:rPr>
          <w:sz w:val="24"/>
          <w:szCs w:val="24"/>
          <w:vertAlign w:val="superscript"/>
        </w:rPr>
        <w:t>20</w:t>
      </w:r>
      <w:r w:rsidR="00DC20F1">
        <w:rPr>
          <w:sz w:val="24"/>
          <w:szCs w:val="24"/>
        </w:rPr>
        <w:t>.</w:t>
      </w:r>
    </w:p>
    <w:p w:rsidR="00620A8A" w:rsidRPr="00BD59E9" w:rsidRDefault="00620A8A" w:rsidP="004666DD">
      <w:pPr>
        <w:spacing w:after="0" w:line="480" w:lineRule="auto"/>
        <w:rPr>
          <w:sz w:val="24"/>
          <w:szCs w:val="24"/>
          <w:u w:val="single"/>
        </w:rPr>
      </w:pPr>
      <w:r w:rsidRPr="00BD59E9">
        <w:rPr>
          <w:sz w:val="24"/>
          <w:szCs w:val="24"/>
          <w:u w:val="single"/>
        </w:rPr>
        <w:t>PROSTATE CANCER</w:t>
      </w:r>
      <w:r w:rsidR="003F6226">
        <w:rPr>
          <w:sz w:val="24"/>
          <w:szCs w:val="24"/>
          <w:u w:val="single"/>
        </w:rPr>
        <w:t xml:space="preserve"> </w:t>
      </w:r>
    </w:p>
    <w:p w:rsidR="00620A8A" w:rsidRDefault="00620A8A" w:rsidP="004666DD">
      <w:pPr>
        <w:spacing w:after="0" w:line="480" w:lineRule="auto"/>
        <w:rPr>
          <w:sz w:val="24"/>
          <w:szCs w:val="24"/>
        </w:rPr>
      </w:pPr>
      <w:r>
        <w:rPr>
          <w:sz w:val="24"/>
          <w:szCs w:val="24"/>
        </w:rPr>
        <w:t>In Ghana Population based study the screen detected PC using PSA ≥4ng/ml was 6.3% but using PSA &gt;2.5ng/ml was 7%.  The Stages were T1 24.6%, T2 56%, T1 – 2 81%, T3 11%, T4 3%, T1 – 4 M1 4% (Fig 4)</w:t>
      </w:r>
      <w:r w:rsidR="00936AA4">
        <w:rPr>
          <w:sz w:val="24"/>
          <w:szCs w:val="24"/>
          <w:vertAlign w:val="superscript"/>
        </w:rPr>
        <w:t>19, 20</w:t>
      </w:r>
    </w:p>
    <w:p w:rsidR="00620A8A" w:rsidRDefault="00620A8A" w:rsidP="004666DD">
      <w:pPr>
        <w:spacing w:line="480" w:lineRule="auto"/>
        <w:rPr>
          <w:sz w:val="24"/>
          <w:szCs w:val="24"/>
        </w:rPr>
      </w:pPr>
      <w:r w:rsidRPr="00725499">
        <w:rPr>
          <w:sz w:val="24"/>
          <w:szCs w:val="24"/>
        </w:rPr>
        <w:t xml:space="preserve">Other </w:t>
      </w:r>
      <w:r>
        <w:rPr>
          <w:sz w:val="24"/>
          <w:szCs w:val="24"/>
        </w:rPr>
        <w:t xml:space="preserve">findings from Ghana Study were </w:t>
      </w:r>
      <w:r w:rsidR="0074537E">
        <w:rPr>
          <w:sz w:val="24"/>
          <w:szCs w:val="24"/>
        </w:rPr>
        <w:t>d</w:t>
      </w:r>
      <w:r>
        <w:rPr>
          <w:sz w:val="24"/>
          <w:szCs w:val="24"/>
        </w:rPr>
        <w:t xml:space="preserve">own </w:t>
      </w:r>
      <w:r w:rsidR="00936AA4">
        <w:rPr>
          <w:sz w:val="24"/>
          <w:szCs w:val="24"/>
        </w:rPr>
        <w:t xml:space="preserve">migration of stage at diagnosis in retrospective versus population and </w:t>
      </w:r>
      <w:proofErr w:type="gramStart"/>
      <w:r w:rsidR="005E00C1">
        <w:rPr>
          <w:sz w:val="24"/>
          <w:szCs w:val="24"/>
        </w:rPr>
        <w:t>case expansion studies was</w:t>
      </w:r>
      <w:proofErr w:type="gramEnd"/>
      <w:r w:rsidR="00BF7780">
        <w:rPr>
          <w:sz w:val="24"/>
          <w:szCs w:val="24"/>
        </w:rPr>
        <w:t xml:space="preserve"> statistically significant</w:t>
      </w:r>
      <w:r w:rsidR="00936AA4">
        <w:rPr>
          <w:sz w:val="24"/>
          <w:szCs w:val="24"/>
        </w:rPr>
        <w:t>.</w:t>
      </w:r>
      <w:r>
        <w:rPr>
          <w:sz w:val="24"/>
          <w:szCs w:val="24"/>
        </w:rPr>
        <w:t xml:space="preserve">  </w:t>
      </w:r>
      <w:r w:rsidR="005E00C1">
        <w:rPr>
          <w:sz w:val="24"/>
          <w:szCs w:val="24"/>
        </w:rPr>
        <w:t xml:space="preserve">The studies were </w:t>
      </w:r>
      <w:proofErr w:type="gramStart"/>
      <w:r w:rsidR="005E00C1">
        <w:rPr>
          <w:sz w:val="24"/>
          <w:szCs w:val="24"/>
        </w:rPr>
        <w:t>retrospective,</w:t>
      </w:r>
      <w:proofErr w:type="gramEnd"/>
      <w:r w:rsidR="005E00C1">
        <w:rPr>
          <w:sz w:val="24"/>
          <w:szCs w:val="24"/>
        </w:rPr>
        <w:t xml:space="preserve"> population and case expansion and the stages were early 15%, 81%, 62%, locally advanced 30%, 15%, 25%, and metastatic 55%, 4% and 13% respectively.  </w:t>
      </w:r>
      <w:r>
        <w:rPr>
          <w:sz w:val="24"/>
          <w:szCs w:val="24"/>
        </w:rPr>
        <w:t xml:space="preserve">Risk factors identified </w:t>
      </w:r>
      <w:r w:rsidR="00BF7780">
        <w:rPr>
          <w:sz w:val="24"/>
          <w:szCs w:val="24"/>
        </w:rPr>
        <w:t xml:space="preserve">were high </w:t>
      </w:r>
      <w:r w:rsidR="00361C54">
        <w:rPr>
          <w:sz w:val="24"/>
          <w:szCs w:val="24"/>
        </w:rPr>
        <w:t>basal metabolic index (</w:t>
      </w:r>
      <w:r w:rsidR="000A040D">
        <w:rPr>
          <w:sz w:val="24"/>
          <w:szCs w:val="24"/>
        </w:rPr>
        <w:t>BMI</w:t>
      </w:r>
      <w:r w:rsidR="00361C54">
        <w:rPr>
          <w:sz w:val="24"/>
          <w:szCs w:val="24"/>
        </w:rPr>
        <w:t>)</w:t>
      </w:r>
      <w:r w:rsidR="000A040D">
        <w:rPr>
          <w:sz w:val="24"/>
          <w:szCs w:val="24"/>
        </w:rPr>
        <w:t>, a</w:t>
      </w:r>
      <w:r>
        <w:rPr>
          <w:sz w:val="24"/>
          <w:szCs w:val="24"/>
        </w:rPr>
        <w:t>dvanced age &gt;60</w:t>
      </w:r>
      <w:r w:rsidR="00361C54">
        <w:rPr>
          <w:sz w:val="24"/>
          <w:szCs w:val="24"/>
        </w:rPr>
        <w:t xml:space="preserve"> years</w:t>
      </w:r>
      <w:r>
        <w:rPr>
          <w:sz w:val="24"/>
          <w:szCs w:val="24"/>
        </w:rPr>
        <w:t>, Chromosome 10p14 associ</w:t>
      </w:r>
      <w:r w:rsidR="0074537E">
        <w:rPr>
          <w:sz w:val="24"/>
          <w:szCs w:val="24"/>
        </w:rPr>
        <w:t>ated with PC in Ghana, a</w:t>
      </w:r>
      <w:r>
        <w:rPr>
          <w:sz w:val="24"/>
          <w:szCs w:val="24"/>
        </w:rPr>
        <w:t xml:space="preserve">ggressive </w:t>
      </w:r>
      <w:r w:rsidR="0074537E">
        <w:rPr>
          <w:sz w:val="24"/>
          <w:szCs w:val="24"/>
        </w:rPr>
        <w:t xml:space="preserve">PC </w:t>
      </w:r>
      <w:r>
        <w:rPr>
          <w:sz w:val="24"/>
          <w:szCs w:val="24"/>
        </w:rPr>
        <w:t xml:space="preserve">disease, GS ≥7 (68%) and PSA &gt;52ng/ml </w:t>
      </w:r>
      <w:r w:rsidR="0074537E">
        <w:rPr>
          <w:sz w:val="24"/>
          <w:szCs w:val="24"/>
        </w:rPr>
        <w:t xml:space="preserve">associated </w:t>
      </w:r>
      <w:r>
        <w:rPr>
          <w:sz w:val="24"/>
          <w:szCs w:val="24"/>
        </w:rPr>
        <w:t>with</w:t>
      </w:r>
      <w:r w:rsidR="0074537E">
        <w:rPr>
          <w:sz w:val="24"/>
          <w:szCs w:val="24"/>
        </w:rPr>
        <w:t xml:space="preserve"> chromosome</w:t>
      </w:r>
      <w:r>
        <w:rPr>
          <w:sz w:val="24"/>
          <w:szCs w:val="24"/>
        </w:rPr>
        <w:t xml:space="preserve"> 5q31.3</w:t>
      </w:r>
      <w:r w:rsidR="0074537E">
        <w:rPr>
          <w:sz w:val="24"/>
          <w:szCs w:val="24"/>
        </w:rPr>
        <w:t>, l</w:t>
      </w:r>
      <w:r>
        <w:rPr>
          <w:sz w:val="24"/>
          <w:szCs w:val="24"/>
        </w:rPr>
        <w:t>ow</w:t>
      </w:r>
      <w:r w:rsidR="0074537E">
        <w:rPr>
          <w:sz w:val="24"/>
          <w:szCs w:val="24"/>
        </w:rPr>
        <w:t xml:space="preserve"> grade PC GS &lt;7 (32%) </w:t>
      </w:r>
      <w:r>
        <w:rPr>
          <w:sz w:val="24"/>
          <w:szCs w:val="24"/>
        </w:rPr>
        <w:t xml:space="preserve">associated with </w:t>
      </w:r>
      <w:r w:rsidR="0074537E">
        <w:rPr>
          <w:sz w:val="24"/>
          <w:szCs w:val="24"/>
        </w:rPr>
        <w:t xml:space="preserve">chromosome </w:t>
      </w:r>
      <w:r w:rsidR="00936AA4">
        <w:rPr>
          <w:sz w:val="24"/>
          <w:szCs w:val="24"/>
        </w:rPr>
        <w:t>Xq28</w:t>
      </w:r>
      <w:r w:rsidR="005E00C1" w:rsidRPr="005E00C1">
        <w:rPr>
          <w:sz w:val="24"/>
          <w:szCs w:val="24"/>
          <w:vertAlign w:val="superscript"/>
        </w:rPr>
        <w:t>17, 19, 20</w:t>
      </w:r>
      <w:r w:rsidR="00936AA4" w:rsidRPr="005E00C1">
        <w:rPr>
          <w:sz w:val="24"/>
          <w:szCs w:val="24"/>
          <w:vertAlign w:val="superscript"/>
        </w:rPr>
        <w:t xml:space="preserve"> </w:t>
      </w:r>
      <w:r w:rsidR="005E00C1">
        <w:rPr>
          <w:sz w:val="24"/>
          <w:szCs w:val="24"/>
        </w:rPr>
        <w:t>and</w:t>
      </w:r>
      <w:r w:rsidR="00936AA4">
        <w:rPr>
          <w:sz w:val="24"/>
          <w:szCs w:val="24"/>
        </w:rPr>
        <w:t xml:space="preserve"> 6q21</w:t>
      </w:r>
      <w:r w:rsidRPr="00CA318F">
        <w:rPr>
          <w:sz w:val="24"/>
          <w:szCs w:val="24"/>
          <w:vertAlign w:val="superscript"/>
        </w:rPr>
        <w:t xml:space="preserve"> 21, 22, 23, 24, 25</w:t>
      </w:r>
      <w:r w:rsidR="00936AA4">
        <w:rPr>
          <w:sz w:val="24"/>
          <w:szCs w:val="24"/>
          <w:vertAlign w:val="superscript"/>
        </w:rPr>
        <w:t>, 26, 27</w:t>
      </w:r>
    </w:p>
    <w:p w:rsidR="00620A8A" w:rsidRDefault="005E00C1" w:rsidP="004666DD">
      <w:pPr>
        <w:spacing w:line="480" w:lineRule="auto"/>
        <w:rPr>
          <w:sz w:val="24"/>
          <w:szCs w:val="24"/>
        </w:rPr>
      </w:pPr>
      <w:r>
        <w:rPr>
          <w:sz w:val="24"/>
          <w:szCs w:val="24"/>
        </w:rPr>
        <w:lastRenderedPageBreak/>
        <w:t>Prevalence of PC in</w:t>
      </w:r>
      <w:r w:rsidR="00620A8A">
        <w:rPr>
          <w:sz w:val="24"/>
          <w:szCs w:val="24"/>
        </w:rPr>
        <w:t xml:space="preserve"> Africa</w:t>
      </w:r>
      <w:r>
        <w:rPr>
          <w:sz w:val="24"/>
          <w:szCs w:val="24"/>
        </w:rPr>
        <w:t xml:space="preserve"> as </w:t>
      </w:r>
      <w:r w:rsidR="00936AA4">
        <w:rPr>
          <w:sz w:val="24"/>
          <w:szCs w:val="24"/>
        </w:rPr>
        <w:t>globally reported in Globo</w:t>
      </w:r>
      <w:r w:rsidR="00620A8A">
        <w:rPr>
          <w:sz w:val="24"/>
          <w:szCs w:val="24"/>
        </w:rPr>
        <w:t>can</w:t>
      </w:r>
      <w:r w:rsidR="00936AA4">
        <w:rPr>
          <w:sz w:val="24"/>
          <w:szCs w:val="24"/>
          <w:vertAlign w:val="superscript"/>
        </w:rPr>
        <w:t>28</w:t>
      </w:r>
      <w:r w:rsidR="00620A8A">
        <w:rPr>
          <w:sz w:val="24"/>
          <w:szCs w:val="24"/>
        </w:rPr>
        <w:t xml:space="preserve"> is as follows per </w:t>
      </w:r>
      <w:r w:rsidR="008A375B">
        <w:rPr>
          <w:sz w:val="24"/>
          <w:szCs w:val="24"/>
        </w:rPr>
        <w:t xml:space="preserve">100,000 </w:t>
      </w:r>
      <w:proofErr w:type="gramStart"/>
      <w:r w:rsidR="008A375B">
        <w:rPr>
          <w:sz w:val="24"/>
          <w:szCs w:val="24"/>
        </w:rPr>
        <w:t>population</w:t>
      </w:r>
      <w:proofErr w:type="gramEnd"/>
      <w:r w:rsidR="008A375B">
        <w:rPr>
          <w:sz w:val="24"/>
          <w:szCs w:val="24"/>
        </w:rPr>
        <w:t>.  The highest prevalence of 227:100,000 was reported from</w:t>
      </w:r>
      <w:r w:rsidR="00620A8A">
        <w:rPr>
          <w:sz w:val="24"/>
          <w:szCs w:val="24"/>
        </w:rPr>
        <w:t xml:space="preserve"> Martinique, Norway, Sweden, Trinidad and Tobago </w:t>
      </w:r>
      <w:proofErr w:type="gramStart"/>
      <w:r w:rsidR="00620A8A">
        <w:rPr>
          <w:sz w:val="24"/>
          <w:szCs w:val="24"/>
        </w:rPr>
        <w:t xml:space="preserve">123.4:105,000 </w:t>
      </w:r>
      <w:r w:rsidR="008A375B">
        <w:rPr>
          <w:sz w:val="24"/>
          <w:szCs w:val="24"/>
        </w:rPr>
        <w:t xml:space="preserve"> in</w:t>
      </w:r>
      <w:proofErr w:type="gramEnd"/>
      <w:r w:rsidR="008A375B">
        <w:rPr>
          <w:sz w:val="24"/>
          <w:szCs w:val="24"/>
        </w:rPr>
        <w:t xml:space="preserve"> Australia and</w:t>
      </w:r>
      <w:r w:rsidR="00620A8A">
        <w:rPr>
          <w:sz w:val="24"/>
          <w:szCs w:val="24"/>
        </w:rPr>
        <w:t xml:space="preserve"> 129.7 </w:t>
      </w:r>
      <w:r w:rsidR="008A375B">
        <w:rPr>
          <w:sz w:val="24"/>
          <w:szCs w:val="24"/>
        </w:rPr>
        <w:t>– 98.2 per 100,000 in the USA</w:t>
      </w:r>
      <w:r w:rsidR="00620A8A">
        <w:rPr>
          <w:sz w:val="24"/>
          <w:szCs w:val="24"/>
        </w:rPr>
        <w:t xml:space="preserve">.  The report includes prevalence in black Africa which was low </w:t>
      </w:r>
      <w:r w:rsidR="008A375B">
        <w:rPr>
          <w:sz w:val="24"/>
          <w:szCs w:val="24"/>
        </w:rPr>
        <w:t xml:space="preserve">at </w:t>
      </w:r>
      <w:r w:rsidR="00620A8A">
        <w:rPr>
          <w:sz w:val="24"/>
          <w:szCs w:val="24"/>
        </w:rPr>
        <w:t>20 – 37 per 10</w:t>
      </w:r>
      <w:r w:rsidR="00A15B40">
        <w:rPr>
          <w:sz w:val="24"/>
          <w:szCs w:val="24"/>
        </w:rPr>
        <w:t xml:space="preserve">0,000 </w:t>
      </w:r>
      <w:r w:rsidR="00620A8A">
        <w:rPr>
          <w:sz w:val="24"/>
          <w:szCs w:val="24"/>
        </w:rPr>
        <w:t>in West Africa and East Afri</w:t>
      </w:r>
      <w:r w:rsidR="008A375B">
        <w:rPr>
          <w:sz w:val="24"/>
          <w:szCs w:val="24"/>
        </w:rPr>
        <w:t xml:space="preserve">ca whilst South Africa has 61.8 per </w:t>
      </w:r>
      <w:r w:rsidR="00620A8A">
        <w:rPr>
          <w:sz w:val="24"/>
          <w:szCs w:val="24"/>
        </w:rPr>
        <w:t>10</w:t>
      </w:r>
      <w:r w:rsidR="00A15B40">
        <w:rPr>
          <w:sz w:val="24"/>
          <w:szCs w:val="24"/>
        </w:rPr>
        <w:t>0,000</w:t>
      </w:r>
      <w:r w:rsidR="00620A8A">
        <w:rPr>
          <w:sz w:val="24"/>
          <w:szCs w:val="24"/>
        </w:rPr>
        <w:t>.  The mortality figures were highest in Caribbean and Su</w:t>
      </w:r>
      <w:r w:rsidR="00A15B40">
        <w:rPr>
          <w:sz w:val="24"/>
          <w:szCs w:val="24"/>
        </w:rPr>
        <w:t>b Saharan Africa, 19 – 29 per 100,000</w:t>
      </w:r>
      <w:r w:rsidR="00620A8A">
        <w:rPr>
          <w:sz w:val="24"/>
          <w:szCs w:val="24"/>
        </w:rPr>
        <w:t xml:space="preserve"> </w:t>
      </w:r>
      <w:r w:rsidR="008A375B">
        <w:rPr>
          <w:sz w:val="24"/>
          <w:szCs w:val="24"/>
        </w:rPr>
        <w:t>due to more aggressive disease and advanced stage at presentation and lower</w:t>
      </w:r>
      <w:r w:rsidR="00620A8A">
        <w:rPr>
          <w:sz w:val="24"/>
          <w:szCs w:val="24"/>
        </w:rPr>
        <w:t xml:space="preserve"> in America and Europe 10 per 10</w:t>
      </w:r>
      <w:r w:rsidR="008A375B">
        <w:rPr>
          <w:sz w:val="24"/>
          <w:szCs w:val="24"/>
        </w:rPr>
        <w:t>0,</w:t>
      </w:r>
      <w:r w:rsidR="008A375B" w:rsidRPr="008A375B">
        <w:rPr>
          <w:sz w:val="24"/>
          <w:szCs w:val="24"/>
        </w:rPr>
        <w:t>000</w:t>
      </w:r>
      <w:r w:rsidR="00620A8A">
        <w:rPr>
          <w:sz w:val="24"/>
          <w:szCs w:val="24"/>
        </w:rPr>
        <w:t>.  The low mortality in European</w:t>
      </w:r>
      <w:r w:rsidR="0074537E">
        <w:rPr>
          <w:sz w:val="24"/>
          <w:szCs w:val="24"/>
        </w:rPr>
        <w:t>s and</w:t>
      </w:r>
      <w:r w:rsidR="00620A8A">
        <w:rPr>
          <w:sz w:val="24"/>
          <w:szCs w:val="24"/>
        </w:rPr>
        <w:t xml:space="preserve"> Americans is due to detection of early PC by PSA</w:t>
      </w:r>
      <w:r w:rsidR="00A15B40">
        <w:rPr>
          <w:sz w:val="24"/>
          <w:szCs w:val="24"/>
        </w:rPr>
        <w:t xml:space="preserve"> testing</w:t>
      </w:r>
      <w:r w:rsidR="00620A8A">
        <w:rPr>
          <w:sz w:val="24"/>
          <w:szCs w:val="24"/>
        </w:rPr>
        <w:t xml:space="preserve"> and screening and availability of curative treatment modalities as RP, Radiation </w:t>
      </w:r>
      <w:r>
        <w:rPr>
          <w:sz w:val="24"/>
          <w:szCs w:val="24"/>
        </w:rPr>
        <w:t xml:space="preserve">therapy (brachytherapy &amp; external beam radiation </w:t>
      </w:r>
      <w:r w:rsidR="00620A8A">
        <w:rPr>
          <w:sz w:val="24"/>
          <w:szCs w:val="24"/>
        </w:rPr>
        <w:t>EBRT).  The low prevalence reports from Africa are</w:t>
      </w:r>
      <w:r>
        <w:rPr>
          <w:sz w:val="24"/>
          <w:szCs w:val="24"/>
        </w:rPr>
        <w:t xml:space="preserve"> probably</w:t>
      </w:r>
      <w:r w:rsidR="00620A8A">
        <w:rPr>
          <w:sz w:val="24"/>
          <w:szCs w:val="24"/>
        </w:rPr>
        <w:t xml:space="preserve"> due to under reporting – lack of cancer registries, less screening and low PSA testing.</w:t>
      </w:r>
      <w:r w:rsidR="00996A07">
        <w:rPr>
          <w:sz w:val="24"/>
          <w:szCs w:val="24"/>
        </w:rPr>
        <w:t xml:space="preserve">  SEER</w:t>
      </w:r>
      <w:r w:rsidR="00996A07" w:rsidRPr="00996A07">
        <w:rPr>
          <w:sz w:val="24"/>
          <w:szCs w:val="24"/>
          <w:vertAlign w:val="superscript"/>
        </w:rPr>
        <w:t>29</w:t>
      </w:r>
      <w:r w:rsidR="00996A07">
        <w:rPr>
          <w:sz w:val="24"/>
          <w:szCs w:val="24"/>
        </w:rPr>
        <w:t xml:space="preserve"> report similar problems in African American men.</w:t>
      </w:r>
      <w:r>
        <w:rPr>
          <w:sz w:val="24"/>
          <w:szCs w:val="24"/>
        </w:rPr>
        <w:t xml:space="preserve">  </w:t>
      </w:r>
      <w:r w:rsidR="00620A8A">
        <w:rPr>
          <w:sz w:val="24"/>
          <w:szCs w:val="24"/>
        </w:rPr>
        <w:t>Prevalence of PC in men with PSA ≥4ng/ml has been reported in USA by Thompson</w:t>
      </w:r>
      <w:r w:rsidR="00756888">
        <w:rPr>
          <w:sz w:val="24"/>
          <w:szCs w:val="24"/>
          <w:vertAlign w:val="superscript"/>
        </w:rPr>
        <w:t>30</w:t>
      </w:r>
      <w:r w:rsidR="00620A8A">
        <w:rPr>
          <w:sz w:val="24"/>
          <w:szCs w:val="24"/>
        </w:rPr>
        <w:t xml:space="preserve"> as 15%.</w:t>
      </w:r>
      <w:r>
        <w:rPr>
          <w:sz w:val="24"/>
          <w:szCs w:val="24"/>
        </w:rPr>
        <w:t xml:space="preserve">  </w:t>
      </w:r>
      <w:r w:rsidR="00620A8A">
        <w:rPr>
          <w:sz w:val="24"/>
          <w:szCs w:val="24"/>
        </w:rPr>
        <w:t>Develongchamps</w:t>
      </w:r>
      <w:r w:rsidR="00756888">
        <w:rPr>
          <w:sz w:val="24"/>
          <w:szCs w:val="24"/>
          <w:vertAlign w:val="superscript"/>
        </w:rPr>
        <w:t>31</w:t>
      </w:r>
      <w:r w:rsidR="00620A8A">
        <w:rPr>
          <w:sz w:val="24"/>
          <w:szCs w:val="24"/>
        </w:rPr>
        <w:t xml:space="preserve"> also reports that there is low incidence of PC</w:t>
      </w:r>
      <w:r w:rsidR="008A375B">
        <w:rPr>
          <w:sz w:val="24"/>
          <w:szCs w:val="24"/>
        </w:rPr>
        <w:t xml:space="preserve"> in men &gt;50 years</w:t>
      </w:r>
      <w:r w:rsidR="00620A8A">
        <w:rPr>
          <w:sz w:val="24"/>
          <w:szCs w:val="24"/>
        </w:rPr>
        <w:t xml:space="preserve"> in Senegal, Mali, Guinea, Gambia but high in </w:t>
      </w:r>
      <w:r w:rsidR="008A375B">
        <w:rPr>
          <w:sz w:val="24"/>
          <w:szCs w:val="24"/>
        </w:rPr>
        <w:t xml:space="preserve">men in </w:t>
      </w:r>
      <w:r w:rsidR="00620A8A">
        <w:rPr>
          <w:sz w:val="24"/>
          <w:szCs w:val="24"/>
        </w:rPr>
        <w:t xml:space="preserve">Ivory Coast and Zimbabwe, but most African countries have incidence below 40:100,000 whilst in South Africa the prevalence is 40:100,000.  The low figures are </w:t>
      </w:r>
      <w:r w:rsidR="008A375B">
        <w:rPr>
          <w:sz w:val="24"/>
          <w:szCs w:val="24"/>
        </w:rPr>
        <w:t xml:space="preserve">again </w:t>
      </w:r>
      <w:r w:rsidR="00620A8A">
        <w:rPr>
          <w:sz w:val="24"/>
          <w:szCs w:val="24"/>
        </w:rPr>
        <w:t xml:space="preserve">due to low PSA testing and screening and lack of </w:t>
      </w:r>
      <w:r>
        <w:rPr>
          <w:sz w:val="24"/>
          <w:szCs w:val="24"/>
        </w:rPr>
        <w:t xml:space="preserve">reliable cancer registries and </w:t>
      </w:r>
      <w:r w:rsidR="00620A8A">
        <w:rPr>
          <w:sz w:val="24"/>
          <w:szCs w:val="24"/>
        </w:rPr>
        <w:t>autopsy</w:t>
      </w:r>
      <w:r w:rsidR="00756888">
        <w:rPr>
          <w:sz w:val="24"/>
          <w:szCs w:val="24"/>
        </w:rPr>
        <w:t xml:space="preserve"> prevalence</w:t>
      </w:r>
      <w:r w:rsidR="00620A8A">
        <w:rPr>
          <w:sz w:val="24"/>
          <w:szCs w:val="24"/>
        </w:rPr>
        <w:t xml:space="preserve"> studies.  Autopsy</w:t>
      </w:r>
      <w:r w:rsidR="008A375B">
        <w:rPr>
          <w:sz w:val="24"/>
          <w:szCs w:val="24"/>
        </w:rPr>
        <w:t xml:space="preserve"> histological PC</w:t>
      </w:r>
      <w:r w:rsidR="00620A8A">
        <w:rPr>
          <w:sz w:val="24"/>
          <w:szCs w:val="24"/>
        </w:rPr>
        <w:t xml:space="preserve"> prevalence studies </w:t>
      </w:r>
      <w:r w:rsidR="00756888">
        <w:rPr>
          <w:sz w:val="24"/>
          <w:szCs w:val="24"/>
        </w:rPr>
        <w:t>by Delongchamps</w:t>
      </w:r>
      <w:r w:rsidR="00756888" w:rsidRPr="00756888">
        <w:rPr>
          <w:sz w:val="24"/>
          <w:szCs w:val="24"/>
          <w:vertAlign w:val="superscript"/>
        </w:rPr>
        <w:t>31</w:t>
      </w:r>
      <w:r w:rsidR="00620A8A">
        <w:rPr>
          <w:sz w:val="24"/>
          <w:szCs w:val="24"/>
        </w:rPr>
        <w:t xml:space="preserve"> showed high prevalence in African Americans than Caucasian Americans some due to socio cultural reasons</w:t>
      </w:r>
      <w:r w:rsidR="0074537E">
        <w:rPr>
          <w:sz w:val="24"/>
          <w:szCs w:val="24"/>
        </w:rPr>
        <w:t>, dietary, hormonal</w:t>
      </w:r>
      <w:r w:rsidR="00620A8A">
        <w:rPr>
          <w:sz w:val="24"/>
          <w:szCs w:val="24"/>
        </w:rPr>
        <w:t xml:space="preserve"> and genetic factors.</w:t>
      </w:r>
    </w:p>
    <w:p w:rsidR="008E531D" w:rsidRDefault="009B38F9" w:rsidP="004666DD">
      <w:pPr>
        <w:spacing w:line="480" w:lineRule="auto"/>
        <w:rPr>
          <w:sz w:val="24"/>
          <w:szCs w:val="24"/>
        </w:rPr>
      </w:pPr>
      <w:r>
        <w:rPr>
          <w:sz w:val="24"/>
          <w:szCs w:val="24"/>
        </w:rPr>
        <w:t>But true prevalence</w:t>
      </w:r>
      <w:r w:rsidR="00620A8A">
        <w:rPr>
          <w:sz w:val="24"/>
          <w:szCs w:val="24"/>
        </w:rPr>
        <w:t xml:space="preserve"> in Africa</w:t>
      </w:r>
      <w:r w:rsidR="005E00C1">
        <w:rPr>
          <w:sz w:val="24"/>
          <w:szCs w:val="24"/>
        </w:rPr>
        <w:t>ns</w:t>
      </w:r>
      <w:r w:rsidR="00620A8A">
        <w:rPr>
          <w:sz w:val="24"/>
          <w:szCs w:val="24"/>
        </w:rPr>
        <w:t xml:space="preserve"> can be found from screening</w:t>
      </w:r>
      <w:r w:rsidR="0074537E">
        <w:rPr>
          <w:sz w:val="24"/>
          <w:szCs w:val="24"/>
        </w:rPr>
        <w:t xml:space="preserve"> </w:t>
      </w:r>
      <w:r>
        <w:rPr>
          <w:sz w:val="24"/>
          <w:szCs w:val="24"/>
        </w:rPr>
        <w:t xml:space="preserve">which is controversial, </w:t>
      </w:r>
      <w:r w:rsidR="0074537E">
        <w:rPr>
          <w:sz w:val="24"/>
          <w:szCs w:val="24"/>
        </w:rPr>
        <w:t>PSA testing</w:t>
      </w:r>
      <w:r w:rsidR="00620A8A">
        <w:rPr>
          <w:sz w:val="24"/>
          <w:szCs w:val="24"/>
        </w:rPr>
        <w:t xml:space="preserve"> in the living or population based autopsy</w:t>
      </w:r>
      <w:r w:rsidR="008A375B">
        <w:rPr>
          <w:sz w:val="24"/>
          <w:szCs w:val="24"/>
        </w:rPr>
        <w:t xml:space="preserve"> histological studies.  As previously stated, p</w:t>
      </w:r>
      <w:r w:rsidR="00620A8A">
        <w:rPr>
          <w:sz w:val="24"/>
          <w:szCs w:val="24"/>
        </w:rPr>
        <w:t xml:space="preserve">revalence </w:t>
      </w:r>
      <w:r w:rsidR="00620A8A">
        <w:rPr>
          <w:sz w:val="24"/>
          <w:szCs w:val="24"/>
        </w:rPr>
        <w:lastRenderedPageBreak/>
        <w:t xml:space="preserve">studies from population studies in African migrants and descendants worldwide show relatively high </w:t>
      </w:r>
      <w:r>
        <w:rPr>
          <w:sz w:val="24"/>
          <w:szCs w:val="24"/>
        </w:rPr>
        <w:t>prevalence</w:t>
      </w:r>
      <w:r w:rsidR="00620A8A">
        <w:rPr>
          <w:sz w:val="24"/>
          <w:szCs w:val="24"/>
        </w:rPr>
        <w:t xml:space="preserve"> in African Americans (AA), and descendants of Africans; in Jamaica 227:100,000, Martinique 227:10</w:t>
      </w:r>
      <w:r w:rsidR="008A375B" w:rsidRPr="008A375B">
        <w:rPr>
          <w:sz w:val="24"/>
          <w:szCs w:val="24"/>
        </w:rPr>
        <w:t>0,000</w:t>
      </w:r>
      <w:r w:rsidR="00620A8A">
        <w:rPr>
          <w:sz w:val="24"/>
          <w:szCs w:val="24"/>
        </w:rPr>
        <w:t>, Trinidad &amp; Tobago and Barbados 123: 10</w:t>
      </w:r>
      <w:r w:rsidR="008A375B">
        <w:rPr>
          <w:sz w:val="24"/>
          <w:szCs w:val="24"/>
        </w:rPr>
        <w:t>0,000</w:t>
      </w:r>
      <w:r w:rsidR="005E00C1">
        <w:rPr>
          <w:sz w:val="24"/>
          <w:szCs w:val="24"/>
          <w:vertAlign w:val="superscript"/>
        </w:rPr>
        <w:t xml:space="preserve"> 28</w:t>
      </w:r>
      <w:r w:rsidR="005E00C1">
        <w:rPr>
          <w:sz w:val="24"/>
          <w:szCs w:val="24"/>
        </w:rPr>
        <w:t xml:space="preserve">  </w:t>
      </w:r>
    </w:p>
    <w:p w:rsidR="0074537E" w:rsidRDefault="008E531D" w:rsidP="004666DD">
      <w:pPr>
        <w:spacing w:line="480" w:lineRule="auto"/>
        <w:rPr>
          <w:sz w:val="24"/>
          <w:szCs w:val="24"/>
          <w:u w:val="single"/>
        </w:rPr>
      </w:pPr>
      <w:r>
        <w:rPr>
          <w:sz w:val="24"/>
          <w:szCs w:val="24"/>
        </w:rPr>
        <w:t>Jackson</w:t>
      </w:r>
      <w:r w:rsidRPr="008E531D">
        <w:rPr>
          <w:sz w:val="24"/>
          <w:szCs w:val="24"/>
          <w:vertAlign w:val="superscript"/>
        </w:rPr>
        <w:t>32</w:t>
      </w:r>
      <w:r>
        <w:rPr>
          <w:sz w:val="24"/>
          <w:szCs w:val="24"/>
        </w:rPr>
        <w:t xml:space="preserve"> reported</w:t>
      </w:r>
      <w:r w:rsidR="00620A8A">
        <w:rPr>
          <w:sz w:val="24"/>
          <w:szCs w:val="24"/>
        </w:rPr>
        <w:t xml:space="preserve"> that the autopsy prevalence rate in AA in Washington</w:t>
      </w:r>
      <w:r>
        <w:rPr>
          <w:sz w:val="24"/>
          <w:szCs w:val="24"/>
        </w:rPr>
        <w:t xml:space="preserve"> DC</w:t>
      </w:r>
      <w:r w:rsidR="00620A8A">
        <w:rPr>
          <w:sz w:val="24"/>
          <w:szCs w:val="24"/>
        </w:rPr>
        <w:t xml:space="preserve"> 40.6 per 100,000 was similar to 36.7:100,000 </w:t>
      </w:r>
      <w:r w:rsidR="0074537E">
        <w:rPr>
          <w:sz w:val="24"/>
          <w:szCs w:val="24"/>
        </w:rPr>
        <w:t>in Nigerians and Ghanaians</w:t>
      </w:r>
      <w:r w:rsidR="008A375B">
        <w:rPr>
          <w:sz w:val="24"/>
          <w:szCs w:val="24"/>
        </w:rPr>
        <w:t xml:space="preserve"> even though incidence in the living was higher in AA men</w:t>
      </w:r>
      <w:r w:rsidR="0074537E">
        <w:rPr>
          <w:sz w:val="24"/>
          <w:szCs w:val="24"/>
        </w:rPr>
        <w:t>.</w:t>
      </w:r>
      <w:r w:rsidR="00756888">
        <w:rPr>
          <w:sz w:val="24"/>
          <w:szCs w:val="24"/>
          <w:vertAlign w:val="superscript"/>
        </w:rPr>
        <w:t>32</w:t>
      </w:r>
      <w:proofErr w:type="gramStart"/>
      <w:r w:rsidR="00620A8A" w:rsidRPr="009C3A56">
        <w:rPr>
          <w:sz w:val="24"/>
          <w:szCs w:val="24"/>
          <w:vertAlign w:val="superscript"/>
        </w:rPr>
        <w:t>,</w:t>
      </w:r>
      <w:r w:rsidR="00620A8A">
        <w:rPr>
          <w:sz w:val="24"/>
          <w:szCs w:val="24"/>
          <w:vertAlign w:val="superscript"/>
        </w:rPr>
        <w:t xml:space="preserve">  </w:t>
      </w:r>
      <w:r w:rsidR="0074537E">
        <w:rPr>
          <w:sz w:val="24"/>
          <w:szCs w:val="24"/>
        </w:rPr>
        <w:t>Heyns</w:t>
      </w:r>
      <w:r>
        <w:rPr>
          <w:sz w:val="24"/>
          <w:szCs w:val="24"/>
          <w:vertAlign w:val="superscript"/>
        </w:rPr>
        <w:t>33</w:t>
      </w:r>
      <w:proofErr w:type="gramEnd"/>
      <w:r w:rsidR="0074537E">
        <w:rPr>
          <w:sz w:val="24"/>
          <w:szCs w:val="24"/>
        </w:rPr>
        <w:t xml:space="preserve"> r</w:t>
      </w:r>
      <w:r w:rsidR="00620A8A">
        <w:rPr>
          <w:sz w:val="24"/>
          <w:szCs w:val="24"/>
        </w:rPr>
        <w:t>eport</w:t>
      </w:r>
      <w:r>
        <w:rPr>
          <w:sz w:val="24"/>
          <w:szCs w:val="24"/>
        </w:rPr>
        <w:t>ed</w:t>
      </w:r>
      <w:r w:rsidR="009B38F9">
        <w:rPr>
          <w:sz w:val="24"/>
          <w:szCs w:val="24"/>
        </w:rPr>
        <w:t xml:space="preserve"> that black </w:t>
      </w:r>
      <w:r w:rsidR="00620A8A">
        <w:rPr>
          <w:sz w:val="24"/>
          <w:szCs w:val="24"/>
        </w:rPr>
        <w:t>South Africa</w:t>
      </w:r>
      <w:r w:rsidR="009B38F9">
        <w:rPr>
          <w:sz w:val="24"/>
          <w:szCs w:val="24"/>
        </w:rPr>
        <w:t>ns</w:t>
      </w:r>
      <w:r w:rsidR="00620A8A">
        <w:rPr>
          <w:sz w:val="24"/>
          <w:szCs w:val="24"/>
        </w:rPr>
        <w:t xml:space="preserve"> presented with the aggressive and advanced disease</w:t>
      </w:r>
      <w:r w:rsidR="009B38F9">
        <w:rPr>
          <w:sz w:val="24"/>
          <w:szCs w:val="24"/>
        </w:rPr>
        <w:t xml:space="preserve"> PC</w:t>
      </w:r>
      <w:r w:rsidR="00620A8A">
        <w:rPr>
          <w:sz w:val="24"/>
          <w:szCs w:val="24"/>
        </w:rPr>
        <w:t xml:space="preserve"> and high PSA compared to Whites but there was no report about prevalence.   Osegbe</w:t>
      </w:r>
      <w:r>
        <w:rPr>
          <w:sz w:val="24"/>
          <w:szCs w:val="24"/>
          <w:vertAlign w:val="superscript"/>
        </w:rPr>
        <w:t>34</w:t>
      </w:r>
      <w:r w:rsidR="00620A8A">
        <w:rPr>
          <w:sz w:val="24"/>
          <w:szCs w:val="24"/>
        </w:rPr>
        <w:t xml:space="preserve"> reported from Lagos that the</w:t>
      </w:r>
      <w:r w:rsidR="00E6617A">
        <w:rPr>
          <w:sz w:val="24"/>
          <w:szCs w:val="24"/>
        </w:rPr>
        <w:t xml:space="preserve"> histological proven</w:t>
      </w:r>
      <w:r w:rsidR="00620A8A">
        <w:rPr>
          <w:sz w:val="24"/>
          <w:szCs w:val="24"/>
        </w:rPr>
        <w:t xml:space="preserve"> hospital incidence was 127:100,000 but no mention of population based studies.  Haas</w:t>
      </w:r>
      <w:r>
        <w:rPr>
          <w:sz w:val="24"/>
          <w:szCs w:val="24"/>
          <w:vertAlign w:val="superscript"/>
        </w:rPr>
        <w:t>35</w:t>
      </w:r>
      <w:r w:rsidR="00620A8A" w:rsidRPr="00B844E9">
        <w:rPr>
          <w:sz w:val="24"/>
          <w:szCs w:val="24"/>
          <w:vertAlign w:val="superscript"/>
        </w:rPr>
        <w:t xml:space="preserve"> </w:t>
      </w:r>
      <w:r w:rsidR="00620A8A">
        <w:rPr>
          <w:sz w:val="24"/>
          <w:szCs w:val="24"/>
        </w:rPr>
        <w:t xml:space="preserve">reported from autopsy prevalence studies that in USA the high incidence of PC is declining </w:t>
      </w:r>
      <w:r w:rsidR="00E6617A">
        <w:rPr>
          <w:sz w:val="24"/>
          <w:szCs w:val="24"/>
        </w:rPr>
        <w:t xml:space="preserve">after a rise due to PSA testing </w:t>
      </w:r>
      <w:r w:rsidR="00620A8A">
        <w:rPr>
          <w:sz w:val="24"/>
          <w:szCs w:val="24"/>
        </w:rPr>
        <w:t>and 90% PC cases diagnosed at early stage T</w:t>
      </w:r>
      <w:r w:rsidR="00620A8A" w:rsidRPr="00647CDD">
        <w:rPr>
          <w:sz w:val="24"/>
          <w:szCs w:val="24"/>
          <w:vertAlign w:val="subscript"/>
        </w:rPr>
        <w:t>1</w:t>
      </w:r>
      <w:r w:rsidR="00620A8A">
        <w:rPr>
          <w:sz w:val="24"/>
          <w:szCs w:val="24"/>
        </w:rPr>
        <w:t>T</w:t>
      </w:r>
      <w:r w:rsidR="00620A8A" w:rsidRPr="00647CDD">
        <w:rPr>
          <w:sz w:val="24"/>
          <w:szCs w:val="24"/>
          <w:vertAlign w:val="subscript"/>
        </w:rPr>
        <w:t>2</w:t>
      </w:r>
      <w:r w:rsidR="00620A8A">
        <w:rPr>
          <w:sz w:val="24"/>
          <w:szCs w:val="24"/>
        </w:rPr>
        <w:t xml:space="preserve"> making survival rate higher in USA, a consequence of early detection by PSA testing and screening</w:t>
      </w:r>
    </w:p>
    <w:p w:rsidR="004666DD" w:rsidRDefault="004666DD" w:rsidP="004666DD">
      <w:pPr>
        <w:spacing w:line="480" w:lineRule="auto"/>
        <w:rPr>
          <w:sz w:val="24"/>
          <w:szCs w:val="24"/>
          <w:u w:val="single"/>
        </w:rPr>
      </w:pPr>
    </w:p>
    <w:p w:rsidR="00620A8A" w:rsidRPr="00A940BA" w:rsidRDefault="00A940BA" w:rsidP="004666DD">
      <w:pPr>
        <w:spacing w:line="480" w:lineRule="auto"/>
        <w:rPr>
          <w:b/>
          <w:sz w:val="24"/>
          <w:szCs w:val="24"/>
        </w:rPr>
      </w:pPr>
      <w:r>
        <w:rPr>
          <w:b/>
          <w:sz w:val="24"/>
          <w:szCs w:val="24"/>
        </w:rPr>
        <w:t>DISCUSSION</w:t>
      </w:r>
    </w:p>
    <w:p w:rsidR="00620A8A" w:rsidRPr="00060113" w:rsidRDefault="00620A8A" w:rsidP="004666DD">
      <w:pPr>
        <w:spacing w:after="0" w:line="480" w:lineRule="auto"/>
        <w:rPr>
          <w:sz w:val="24"/>
          <w:szCs w:val="24"/>
          <w:u w:val="single"/>
        </w:rPr>
      </w:pPr>
      <w:r w:rsidRPr="00060113">
        <w:rPr>
          <w:sz w:val="24"/>
          <w:szCs w:val="24"/>
          <w:u w:val="single"/>
        </w:rPr>
        <w:t>Benign p</w:t>
      </w:r>
      <w:r w:rsidR="008E531D">
        <w:rPr>
          <w:sz w:val="24"/>
          <w:szCs w:val="24"/>
          <w:u w:val="single"/>
        </w:rPr>
        <w:t>rostatic hyperplasia</w:t>
      </w:r>
      <w:r>
        <w:rPr>
          <w:sz w:val="24"/>
          <w:szCs w:val="24"/>
          <w:u w:val="single"/>
        </w:rPr>
        <w:t xml:space="preserve"> (BPH/BPE) Table 4 </w:t>
      </w:r>
    </w:p>
    <w:p w:rsidR="00C77D6E" w:rsidRDefault="00C77D6E" w:rsidP="004666DD">
      <w:pPr>
        <w:spacing w:after="0" w:line="480" w:lineRule="auto"/>
        <w:rPr>
          <w:sz w:val="24"/>
          <w:szCs w:val="24"/>
        </w:rPr>
      </w:pPr>
      <w:r>
        <w:rPr>
          <w:sz w:val="24"/>
          <w:szCs w:val="24"/>
        </w:rPr>
        <w:t>By DRE the p</w:t>
      </w:r>
      <w:r w:rsidR="00620A8A">
        <w:rPr>
          <w:sz w:val="24"/>
          <w:szCs w:val="24"/>
        </w:rPr>
        <w:t>revalence of BPH in Ghana was 62%</w:t>
      </w:r>
      <w:r w:rsidR="003059A5">
        <w:rPr>
          <w:sz w:val="24"/>
          <w:szCs w:val="24"/>
          <w:vertAlign w:val="superscript"/>
        </w:rPr>
        <w:t>18</w:t>
      </w:r>
      <w:r w:rsidR="00620A8A">
        <w:rPr>
          <w:sz w:val="24"/>
          <w:szCs w:val="24"/>
        </w:rPr>
        <w:t xml:space="preserve">. </w:t>
      </w:r>
      <w:r>
        <w:rPr>
          <w:sz w:val="24"/>
          <w:szCs w:val="24"/>
        </w:rPr>
        <w:t xml:space="preserve"> In the </w:t>
      </w:r>
      <w:r w:rsidR="00620A8A">
        <w:rPr>
          <w:sz w:val="24"/>
          <w:szCs w:val="24"/>
        </w:rPr>
        <w:t xml:space="preserve">USA </w:t>
      </w:r>
      <w:r>
        <w:rPr>
          <w:sz w:val="24"/>
          <w:szCs w:val="24"/>
        </w:rPr>
        <w:t xml:space="preserve">it </w:t>
      </w:r>
      <w:r w:rsidR="009B38F9">
        <w:rPr>
          <w:sz w:val="24"/>
          <w:szCs w:val="24"/>
        </w:rPr>
        <w:t>ranges from 36</w:t>
      </w:r>
      <w:r>
        <w:rPr>
          <w:sz w:val="24"/>
          <w:szCs w:val="24"/>
        </w:rPr>
        <w:t>%</w:t>
      </w:r>
      <w:r w:rsidR="00620A8A">
        <w:rPr>
          <w:sz w:val="24"/>
          <w:szCs w:val="24"/>
        </w:rPr>
        <w:t xml:space="preserve">.  </w:t>
      </w:r>
      <w:proofErr w:type="gramStart"/>
      <w:r w:rsidR="00620A8A">
        <w:rPr>
          <w:sz w:val="24"/>
          <w:szCs w:val="24"/>
        </w:rPr>
        <w:t>Guess</w:t>
      </w:r>
      <w:r w:rsidR="00620A8A" w:rsidRPr="00AA7CF1">
        <w:rPr>
          <w:sz w:val="24"/>
          <w:szCs w:val="24"/>
          <w:vertAlign w:val="superscript"/>
        </w:rPr>
        <w:t>3</w:t>
      </w:r>
      <w:r w:rsidR="003059A5">
        <w:rPr>
          <w:sz w:val="24"/>
          <w:szCs w:val="24"/>
          <w:vertAlign w:val="superscript"/>
        </w:rPr>
        <w:t>6</w:t>
      </w:r>
      <w:r w:rsidR="0074537E">
        <w:rPr>
          <w:sz w:val="24"/>
          <w:szCs w:val="24"/>
        </w:rPr>
        <w:t xml:space="preserve"> </w:t>
      </w:r>
      <w:r w:rsidR="009B38F9">
        <w:rPr>
          <w:sz w:val="24"/>
          <w:szCs w:val="24"/>
        </w:rPr>
        <w:t xml:space="preserve">and </w:t>
      </w:r>
      <w:r w:rsidR="00620A8A">
        <w:rPr>
          <w:sz w:val="24"/>
          <w:szCs w:val="24"/>
        </w:rPr>
        <w:t>Nashlund</w:t>
      </w:r>
      <w:r w:rsidR="003059A5">
        <w:rPr>
          <w:sz w:val="24"/>
          <w:szCs w:val="24"/>
          <w:vertAlign w:val="superscript"/>
        </w:rPr>
        <w:t>37</w:t>
      </w:r>
      <w:r>
        <w:rPr>
          <w:sz w:val="24"/>
          <w:szCs w:val="24"/>
          <w:vertAlign w:val="superscript"/>
        </w:rPr>
        <w:t xml:space="preserve"> </w:t>
      </w:r>
      <w:r w:rsidR="009B38F9">
        <w:rPr>
          <w:sz w:val="24"/>
          <w:szCs w:val="24"/>
        </w:rPr>
        <w:t>42% all races.</w:t>
      </w:r>
      <w:proofErr w:type="gramEnd"/>
      <w:r w:rsidR="009B38F9">
        <w:rPr>
          <w:sz w:val="24"/>
          <w:szCs w:val="24"/>
        </w:rPr>
        <w:t xml:space="preserve">   </w:t>
      </w:r>
      <w:r w:rsidR="00E6617A">
        <w:rPr>
          <w:sz w:val="24"/>
          <w:szCs w:val="24"/>
        </w:rPr>
        <w:t>The prevalence of</w:t>
      </w:r>
      <w:r w:rsidR="009B38F9">
        <w:rPr>
          <w:sz w:val="24"/>
          <w:szCs w:val="24"/>
        </w:rPr>
        <w:t xml:space="preserve"> </w:t>
      </w:r>
      <w:r>
        <w:rPr>
          <w:sz w:val="24"/>
          <w:szCs w:val="24"/>
        </w:rPr>
        <w:t>BPH symptoms using</w:t>
      </w:r>
      <w:r w:rsidR="00620A8A">
        <w:rPr>
          <w:sz w:val="24"/>
          <w:szCs w:val="24"/>
        </w:rPr>
        <w:t xml:space="preserve"> </w:t>
      </w:r>
      <w:r w:rsidR="00E6617A">
        <w:rPr>
          <w:sz w:val="24"/>
          <w:szCs w:val="24"/>
        </w:rPr>
        <w:t>IPSS ≥8 as moderate to severe LUTS</w:t>
      </w:r>
      <w:r>
        <w:rPr>
          <w:sz w:val="24"/>
          <w:szCs w:val="24"/>
        </w:rPr>
        <w:t xml:space="preserve"> </w:t>
      </w:r>
      <w:r w:rsidR="00620A8A">
        <w:rPr>
          <w:sz w:val="24"/>
          <w:szCs w:val="24"/>
        </w:rPr>
        <w:t>in Ghana</w:t>
      </w:r>
      <w:r w:rsidR="003059A5">
        <w:rPr>
          <w:sz w:val="24"/>
          <w:szCs w:val="24"/>
          <w:vertAlign w:val="superscript"/>
        </w:rPr>
        <w:t>18</w:t>
      </w:r>
      <w:r>
        <w:rPr>
          <w:sz w:val="24"/>
          <w:szCs w:val="24"/>
        </w:rPr>
        <w:t xml:space="preserve"> was 20%,</w:t>
      </w:r>
      <w:r w:rsidR="00E6617A">
        <w:rPr>
          <w:sz w:val="24"/>
          <w:szCs w:val="24"/>
        </w:rPr>
        <w:t xml:space="preserve"> but others using the same criteria</w:t>
      </w:r>
      <w:r>
        <w:rPr>
          <w:sz w:val="24"/>
          <w:szCs w:val="24"/>
        </w:rPr>
        <w:t xml:space="preserve"> </w:t>
      </w:r>
      <w:r w:rsidR="00E6617A">
        <w:rPr>
          <w:sz w:val="24"/>
          <w:szCs w:val="24"/>
        </w:rPr>
        <w:t>reported various values; i</w:t>
      </w:r>
      <w:r w:rsidR="00620A8A">
        <w:rPr>
          <w:sz w:val="24"/>
          <w:szCs w:val="24"/>
        </w:rPr>
        <w:t>n the UK</w:t>
      </w:r>
      <w:r>
        <w:rPr>
          <w:sz w:val="24"/>
          <w:szCs w:val="24"/>
        </w:rPr>
        <w:t xml:space="preserve"> by</w:t>
      </w:r>
      <w:r w:rsidR="00620A8A">
        <w:rPr>
          <w:sz w:val="24"/>
          <w:szCs w:val="24"/>
          <w:vertAlign w:val="superscript"/>
        </w:rPr>
        <w:t xml:space="preserve"> </w:t>
      </w:r>
      <w:r w:rsidR="00620A8A">
        <w:rPr>
          <w:sz w:val="24"/>
          <w:szCs w:val="24"/>
        </w:rPr>
        <w:t>Truemann 37%</w:t>
      </w:r>
      <w:r w:rsidR="003059A5">
        <w:rPr>
          <w:sz w:val="24"/>
          <w:szCs w:val="24"/>
          <w:vertAlign w:val="superscript"/>
        </w:rPr>
        <w:t>38</w:t>
      </w:r>
      <w:r w:rsidR="00620A8A">
        <w:rPr>
          <w:sz w:val="24"/>
          <w:szCs w:val="24"/>
        </w:rPr>
        <w:t xml:space="preserve">, </w:t>
      </w:r>
      <w:r>
        <w:rPr>
          <w:sz w:val="24"/>
          <w:szCs w:val="24"/>
        </w:rPr>
        <w:t>in Europe by Rosen</w:t>
      </w:r>
      <w:r w:rsidRPr="00C77D6E">
        <w:rPr>
          <w:sz w:val="24"/>
          <w:szCs w:val="24"/>
          <w:vertAlign w:val="superscript"/>
        </w:rPr>
        <w:t>39</w:t>
      </w:r>
      <w:r>
        <w:rPr>
          <w:sz w:val="24"/>
          <w:szCs w:val="24"/>
        </w:rPr>
        <w:t xml:space="preserve"> multinational 29% and </w:t>
      </w:r>
      <w:r w:rsidR="00620A8A">
        <w:rPr>
          <w:sz w:val="24"/>
          <w:szCs w:val="24"/>
        </w:rPr>
        <w:t>Sarma</w:t>
      </w:r>
      <w:r w:rsidR="00E6617A">
        <w:rPr>
          <w:sz w:val="24"/>
          <w:szCs w:val="24"/>
        </w:rPr>
        <w:t>’s</w:t>
      </w:r>
      <w:r w:rsidR="003059A5">
        <w:rPr>
          <w:sz w:val="24"/>
          <w:szCs w:val="24"/>
          <w:vertAlign w:val="superscript"/>
        </w:rPr>
        <w:t>40</w:t>
      </w:r>
      <w:r w:rsidR="00620A8A">
        <w:rPr>
          <w:sz w:val="24"/>
          <w:szCs w:val="24"/>
        </w:rPr>
        <w:t xml:space="preserve"> </w:t>
      </w:r>
      <w:r w:rsidR="00E6617A">
        <w:rPr>
          <w:sz w:val="24"/>
          <w:szCs w:val="24"/>
        </w:rPr>
        <w:t xml:space="preserve">report in </w:t>
      </w:r>
      <w:r w:rsidR="00620A8A">
        <w:rPr>
          <w:sz w:val="24"/>
          <w:szCs w:val="24"/>
        </w:rPr>
        <w:t xml:space="preserve">Michigan Blacks </w:t>
      </w:r>
      <w:r w:rsidR="009B38F9">
        <w:rPr>
          <w:sz w:val="24"/>
          <w:szCs w:val="24"/>
        </w:rPr>
        <w:t>was 45</w:t>
      </w:r>
      <w:r w:rsidR="00E6617A">
        <w:rPr>
          <w:sz w:val="24"/>
          <w:szCs w:val="24"/>
        </w:rPr>
        <w:t xml:space="preserve">% Figs 1, 2  Tables 2, 3, 4. </w:t>
      </w:r>
      <w:r w:rsidR="00E6617A" w:rsidRPr="00E6617A">
        <w:rPr>
          <w:sz w:val="24"/>
          <w:szCs w:val="24"/>
          <w:vertAlign w:val="superscript"/>
        </w:rPr>
        <w:t>15, 16, 17, 18, 19, 20, 36 – 40</w:t>
      </w:r>
      <w:r w:rsidR="00E6617A">
        <w:rPr>
          <w:sz w:val="24"/>
          <w:szCs w:val="24"/>
        </w:rPr>
        <w:t xml:space="preserve"> </w:t>
      </w:r>
    </w:p>
    <w:p w:rsidR="00620A8A" w:rsidRPr="004B691D" w:rsidRDefault="00C77D6E" w:rsidP="004666DD">
      <w:pPr>
        <w:spacing w:after="0" w:line="480" w:lineRule="auto"/>
        <w:rPr>
          <w:sz w:val="24"/>
          <w:szCs w:val="24"/>
        </w:rPr>
      </w:pPr>
      <w:r>
        <w:rPr>
          <w:sz w:val="24"/>
          <w:szCs w:val="24"/>
        </w:rPr>
        <w:lastRenderedPageBreak/>
        <w:t>In South Africa</w:t>
      </w:r>
      <w:r w:rsidR="009D18A0">
        <w:rPr>
          <w:sz w:val="24"/>
          <w:szCs w:val="24"/>
        </w:rPr>
        <w:t xml:space="preserve">n black men 1: 3 &gt;45 years have </w:t>
      </w:r>
      <w:r w:rsidR="00E6617A">
        <w:rPr>
          <w:sz w:val="24"/>
          <w:szCs w:val="24"/>
        </w:rPr>
        <w:t xml:space="preserve">moderate to severe </w:t>
      </w:r>
      <w:r w:rsidR="009D18A0">
        <w:rPr>
          <w:sz w:val="24"/>
          <w:szCs w:val="24"/>
        </w:rPr>
        <w:t xml:space="preserve">LUTS due to BPH and 50% of men at 60 years have symptomatic BPH and there is also annual increase </w:t>
      </w:r>
      <w:r w:rsidR="00E6617A">
        <w:rPr>
          <w:sz w:val="24"/>
          <w:szCs w:val="24"/>
        </w:rPr>
        <w:t>in black men with</w:t>
      </w:r>
      <w:r w:rsidR="009D18A0">
        <w:rPr>
          <w:sz w:val="24"/>
          <w:szCs w:val="24"/>
        </w:rPr>
        <w:t xml:space="preserve"> symptomatic BPH.</w:t>
      </w:r>
      <w:r w:rsidR="00276A2D" w:rsidRPr="00276A2D">
        <w:rPr>
          <w:sz w:val="24"/>
          <w:szCs w:val="24"/>
          <w:vertAlign w:val="superscript"/>
        </w:rPr>
        <w:t>11</w:t>
      </w:r>
    </w:p>
    <w:p w:rsidR="00E6617A" w:rsidRDefault="00620A8A" w:rsidP="004666DD">
      <w:pPr>
        <w:spacing w:after="0" w:line="480" w:lineRule="auto"/>
        <w:rPr>
          <w:sz w:val="24"/>
          <w:szCs w:val="24"/>
        </w:rPr>
      </w:pPr>
      <w:r>
        <w:rPr>
          <w:sz w:val="24"/>
          <w:szCs w:val="24"/>
        </w:rPr>
        <w:t>Using PSA ≥1.5n</w:t>
      </w:r>
      <w:r w:rsidR="00276A2D">
        <w:rPr>
          <w:sz w:val="24"/>
          <w:szCs w:val="24"/>
        </w:rPr>
        <w:t xml:space="preserve">g/ml ≥30mls prostate volume the </w:t>
      </w:r>
      <w:r>
        <w:rPr>
          <w:sz w:val="24"/>
          <w:szCs w:val="24"/>
        </w:rPr>
        <w:t>prevalence</w:t>
      </w:r>
      <w:r w:rsidR="00276A2D">
        <w:rPr>
          <w:sz w:val="24"/>
          <w:szCs w:val="24"/>
        </w:rPr>
        <w:t xml:space="preserve"> in Ghana</w:t>
      </w:r>
      <w:r w:rsidR="00276A2D" w:rsidRPr="00276A2D">
        <w:rPr>
          <w:sz w:val="24"/>
          <w:szCs w:val="24"/>
          <w:vertAlign w:val="superscript"/>
        </w:rPr>
        <w:t>18</w:t>
      </w:r>
      <w:r w:rsidR="00276A2D">
        <w:rPr>
          <w:sz w:val="24"/>
          <w:szCs w:val="24"/>
        </w:rPr>
        <w:t xml:space="preserve"> was</w:t>
      </w:r>
      <w:r>
        <w:rPr>
          <w:sz w:val="24"/>
          <w:szCs w:val="24"/>
        </w:rPr>
        <w:t xml:space="preserve"> 36% </w:t>
      </w:r>
      <w:r w:rsidR="00276A2D">
        <w:rPr>
          <w:sz w:val="24"/>
          <w:szCs w:val="24"/>
        </w:rPr>
        <w:t xml:space="preserve">while </w:t>
      </w:r>
      <w:r>
        <w:rPr>
          <w:sz w:val="24"/>
          <w:szCs w:val="24"/>
        </w:rPr>
        <w:t>Nashlund</w:t>
      </w:r>
      <w:r w:rsidR="003059A5">
        <w:rPr>
          <w:sz w:val="24"/>
          <w:szCs w:val="24"/>
          <w:vertAlign w:val="superscript"/>
        </w:rPr>
        <w:t>37</w:t>
      </w:r>
      <w:r w:rsidRPr="00AA7CF1">
        <w:rPr>
          <w:sz w:val="24"/>
          <w:szCs w:val="24"/>
          <w:vertAlign w:val="superscript"/>
        </w:rPr>
        <w:t xml:space="preserve"> </w:t>
      </w:r>
      <w:r>
        <w:rPr>
          <w:sz w:val="24"/>
          <w:szCs w:val="24"/>
        </w:rPr>
        <w:t xml:space="preserve">USA </w:t>
      </w:r>
      <w:r w:rsidR="00276A2D">
        <w:rPr>
          <w:sz w:val="24"/>
          <w:szCs w:val="24"/>
        </w:rPr>
        <w:t xml:space="preserve">reported </w:t>
      </w:r>
      <w:r>
        <w:rPr>
          <w:sz w:val="24"/>
          <w:szCs w:val="24"/>
        </w:rPr>
        <w:t xml:space="preserve">prevalence </w:t>
      </w:r>
      <w:r w:rsidR="00276A2D">
        <w:rPr>
          <w:sz w:val="24"/>
          <w:szCs w:val="24"/>
        </w:rPr>
        <w:t>of</w:t>
      </w:r>
      <w:r>
        <w:rPr>
          <w:sz w:val="24"/>
          <w:szCs w:val="24"/>
        </w:rPr>
        <w:t xml:space="preserve"> 36% </w:t>
      </w:r>
      <w:r w:rsidR="00E6617A">
        <w:rPr>
          <w:sz w:val="24"/>
          <w:szCs w:val="24"/>
        </w:rPr>
        <w:t>in all races, u</w:t>
      </w:r>
      <w:r w:rsidR="0074537E">
        <w:rPr>
          <w:sz w:val="24"/>
          <w:szCs w:val="24"/>
        </w:rPr>
        <w:t xml:space="preserve">sing imputed prostate volume </w:t>
      </w:r>
      <w:r w:rsidR="00276A2D">
        <w:rPr>
          <w:sz w:val="24"/>
          <w:szCs w:val="24"/>
        </w:rPr>
        <w:t xml:space="preserve">from PSA ≤1.5ng/ml, </w:t>
      </w:r>
      <w:r>
        <w:rPr>
          <w:sz w:val="24"/>
          <w:szCs w:val="24"/>
        </w:rPr>
        <w:t xml:space="preserve">TRUS prostate Vol 30 ml and IPSS ≥8 </w:t>
      </w:r>
      <w:r w:rsidR="00276A2D">
        <w:rPr>
          <w:sz w:val="24"/>
          <w:szCs w:val="24"/>
        </w:rPr>
        <w:t>report Ghanaian</w:t>
      </w:r>
      <w:r>
        <w:rPr>
          <w:sz w:val="24"/>
          <w:szCs w:val="24"/>
        </w:rPr>
        <w:t xml:space="preserve"> prevalence as 30%.</w:t>
      </w:r>
      <w:r w:rsidR="00E6617A">
        <w:rPr>
          <w:sz w:val="24"/>
          <w:szCs w:val="24"/>
        </w:rPr>
        <w:t xml:space="preserve"> Tables 2, 3, 4, Figs 2</w:t>
      </w:r>
      <w:proofErr w:type="gramStart"/>
      <w:r w:rsidR="00E6617A">
        <w:rPr>
          <w:sz w:val="24"/>
          <w:szCs w:val="24"/>
        </w:rPr>
        <w:t>,3</w:t>
      </w:r>
      <w:proofErr w:type="gramEnd"/>
      <w:r w:rsidR="00E6617A">
        <w:rPr>
          <w:sz w:val="24"/>
          <w:szCs w:val="24"/>
        </w:rPr>
        <w:t xml:space="preserve">, 4, </w:t>
      </w:r>
      <w:r w:rsidR="00E6617A" w:rsidRPr="00E6617A">
        <w:rPr>
          <w:sz w:val="24"/>
          <w:szCs w:val="24"/>
          <w:vertAlign w:val="superscript"/>
        </w:rPr>
        <w:t>15, 16, 17, 18, 19, 20, 36 – 40</w:t>
      </w:r>
      <w:r w:rsidR="00E6617A">
        <w:rPr>
          <w:sz w:val="24"/>
          <w:szCs w:val="24"/>
        </w:rPr>
        <w:t xml:space="preserve"> </w:t>
      </w:r>
    </w:p>
    <w:p w:rsidR="00620A8A" w:rsidRPr="001C653C" w:rsidRDefault="008F2A68" w:rsidP="004666DD">
      <w:pPr>
        <w:spacing w:after="0" w:line="480" w:lineRule="auto"/>
        <w:rPr>
          <w:sz w:val="24"/>
          <w:szCs w:val="24"/>
        </w:rPr>
      </w:pPr>
      <w:r>
        <w:rPr>
          <w:sz w:val="24"/>
          <w:szCs w:val="24"/>
        </w:rPr>
        <w:t>In the USA the incidence of a</w:t>
      </w:r>
      <w:r w:rsidR="00620A8A" w:rsidRPr="001C653C">
        <w:rPr>
          <w:sz w:val="24"/>
          <w:szCs w:val="24"/>
        </w:rPr>
        <w:t>cute retention</w:t>
      </w:r>
      <w:r>
        <w:rPr>
          <w:sz w:val="24"/>
          <w:szCs w:val="24"/>
        </w:rPr>
        <w:t xml:space="preserve"> (ARU)</w:t>
      </w:r>
      <w:r w:rsidR="00620A8A" w:rsidRPr="001C653C">
        <w:rPr>
          <w:sz w:val="24"/>
          <w:szCs w:val="24"/>
        </w:rPr>
        <w:t xml:space="preserve"> is 34.7/1000 men &gt;70 years and also 27 Million Caucasians aged 50 – 79 years have symptomatic BPH requiring treatment in 2000.  Other USA statistics indicate 8 million visits for primary assessment and diagnosis for BPH and 87,410 </w:t>
      </w:r>
      <w:r w:rsidR="00620A8A">
        <w:rPr>
          <w:sz w:val="24"/>
          <w:szCs w:val="24"/>
        </w:rPr>
        <w:t>TURPS</w:t>
      </w:r>
      <w:r w:rsidR="00620A8A" w:rsidRPr="001C653C">
        <w:rPr>
          <w:sz w:val="24"/>
          <w:szCs w:val="24"/>
        </w:rPr>
        <w:t xml:space="preserve"> are done each year for BPH</w:t>
      </w:r>
      <w:r w:rsidR="00620A8A">
        <w:rPr>
          <w:sz w:val="24"/>
          <w:szCs w:val="24"/>
        </w:rPr>
        <w:t xml:space="preserve"> </w:t>
      </w:r>
      <w:r w:rsidR="003059A5">
        <w:rPr>
          <w:sz w:val="24"/>
          <w:szCs w:val="24"/>
          <w:vertAlign w:val="superscript"/>
        </w:rPr>
        <w:t>41, 42</w:t>
      </w:r>
      <w:r w:rsidR="00620A8A">
        <w:rPr>
          <w:sz w:val="24"/>
          <w:szCs w:val="24"/>
        </w:rPr>
        <w:t xml:space="preserve"> </w:t>
      </w:r>
    </w:p>
    <w:p w:rsidR="00620A8A" w:rsidRPr="001C653C" w:rsidRDefault="00620A8A" w:rsidP="004666DD">
      <w:pPr>
        <w:spacing w:after="0" w:line="480" w:lineRule="auto"/>
        <w:rPr>
          <w:sz w:val="24"/>
          <w:szCs w:val="24"/>
          <w:u w:val="single"/>
        </w:rPr>
      </w:pPr>
      <w:r w:rsidRPr="001C653C">
        <w:rPr>
          <w:sz w:val="24"/>
          <w:szCs w:val="24"/>
          <w:u w:val="single"/>
        </w:rPr>
        <w:t>ECONOMIC</w:t>
      </w:r>
      <w:r>
        <w:rPr>
          <w:sz w:val="24"/>
          <w:szCs w:val="24"/>
          <w:u w:val="single"/>
        </w:rPr>
        <w:t>S –</w:t>
      </w:r>
      <w:r w:rsidRPr="001C653C">
        <w:rPr>
          <w:sz w:val="24"/>
          <w:szCs w:val="24"/>
          <w:u w:val="single"/>
        </w:rPr>
        <w:t xml:space="preserve"> COSTS OF </w:t>
      </w:r>
      <w:r>
        <w:rPr>
          <w:sz w:val="24"/>
          <w:szCs w:val="24"/>
          <w:u w:val="single"/>
        </w:rPr>
        <w:t xml:space="preserve">MANAGEMENT OF </w:t>
      </w:r>
      <w:r w:rsidRPr="001C653C">
        <w:rPr>
          <w:sz w:val="24"/>
          <w:szCs w:val="24"/>
          <w:u w:val="single"/>
        </w:rPr>
        <w:t>BPH</w:t>
      </w:r>
    </w:p>
    <w:p w:rsidR="00620A8A" w:rsidRDefault="00620A8A" w:rsidP="004666DD">
      <w:pPr>
        <w:spacing w:line="480" w:lineRule="auto"/>
        <w:rPr>
          <w:sz w:val="24"/>
          <w:szCs w:val="24"/>
        </w:rPr>
      </w:pPr>
      <w:r>
        <w:rPr>
          <w:sz w:val="24"/>
          <w:szCs w:val="24"/>
        </w:rPr>
        <w:t>In the USA, national direct cost of management of BPH medications, hospital procedures, imaging and office visits amount to U$4 Billion annually.  This excludes indirect cost of loss of earnings from absenteeism, pain and discomfort Taub and Wei</w:t>
      </w:r>
      <w:r w:rsidR="00AA5581">
        <w:rPr>
          <w:sz w:val="24"/>
          <w:szCs w:val="24"/>
          <w:vertAlign w:val="superscript"/>
        </w:rPr>
        <w:t>41</w:t>
      </w:r>
      <w:r>
        <w:rPr>
          <w:sz w:val="24"/>
          <w:szCs w:val="24"/>
        </w:rPr>
        <w:t>.  Saigal &amp; Joyce</w:t>
      </w:r>
      <w:r w:rsidR="00AA5581">
        <w:rPr>
          <w:sz w:val="24"/>
          <w:szCs w:val="24"/>
          <w:vertAlign w:val="superscript"/>
        </w:rPr>
        <w:t>42</w:t>
      </w:r>
      <w:r>
        <w:rPr>
          <w:sz w:val="24"/>
          <w:szCs w:val="24"/>
        </w:rPr>
        <w:t xml:space="preserve"> by examining medical claims calculated the incremental cost associated with diagnosis of BPH was U$1536 annually excluding surgical procedures.</w:t>
      </w:r>
    </w:p>
    <w:p w:rsidR="00620A8A" w:rsidRPr="004B691D" w:rsidRDefault="00620A8A" w:rsidP="004666DD">
      <w:pPr>
        <w:spacing w:line="480" w:lineRule="auto"/>
        <w:rPr>
          <w:rFonts w:ascii="Times New Roman" w:hAnsi="Times New Roman" w:cs="Times New Roman"/>
          <w:sz w:val="24"/>
          <w:szCs w:val="24"/>
        </w:rPr>
      </w:pPr>
      <w:r>
        <w:rPr>
          <w:sz w:val="24"/>
          <w:szCs w:val="24"/>
        </w:rPr>
        <w:t xml:space="preserve">In Ghana currently, </w:t>
      </w:r>
      <w:r w:rsidR="00E6617A">
        <w:rPr>
          <w:sz w:val="24"/>
          <w:szCs w:val="24"/>
        </w:rPr>
        <w:t xml:space="preserve">head of </w:t>
      </w:r>
      <w:r w:rsidR="002A219A">
        <w:rPr>
          <w:sz w:val="24"/>
          <w:szCs w:val="24"/>
        </w:rPr>
        <w:t>U</w:t>
      </w:r>
      <w:r w:rsidR="00E6617A">
        <w:rPr>
          <w:sz w:val="24"/>
          <w:szCs w:val="24"/>
        </w:rPr>
        <w:t xml:space="preserve">rology </w:t>
      </w:r>
      <w:r w:rsidR="002A219A">
        <w:rPr>
          <w:sz w:val="24"/>
          <w:szCs w:val="24"/>
        </w:rPr>
        <w:t>U</w:t>
      </w:r>
      <w:r w:rsidR="00E6617A">
        <w:rPr>
          <w:sz w:val="24"/>
          <w:szCs w:val="24"/>
        </w:rPr>
        <w:t xml:space="preserve">nit at Korle Bu Teaching Hospital </w:t>
      </w:r>
      <w:r w:rsidR="00A15B40">
        <w:rPr>
          <w:sz w:val="24"/>
          <w:szCs w:val="24"/>
        </w:rPr>
        <w:t xml:space="preserve">reports </w:t>
      </w:r>
      <w:r w:rsidR="00E6617A">
        <w:rPr>
          <w:sz w:val="24"/>
          <w:szCs w:val="24"/>
        </w:rPr>
        <w:t xml:space="preserve">that </w:t>
      </w:r>
      <w:r>
        <w:rPr>
          <w:sz w:val="24"/>
          <w:szCs w:val="24"/>
        </w:rPr>
        <w:t>individual costs for BPH medications range from Gh</w:t>
      </w:r>
      <w:r>
        <w:rPr>
          <w:rFonts w:ascii="Times New Roman" w:hAnsi="Times New Roman" w:cs="Times New Roman"/>
          <w:sz w:val="24"/>
          <w:szCs w:val="24"/>
        </w:rPr>
        <w:t>¢1200 – 2200 (US300 – 500) per year and costs for simple prostatectomy TURP Gh¢4500 (US1100).</w:t>
      </w:r>
    </w:p>
    <w:p w:rsidR="00160ED3" w:rsidRDefault="00620A8A" w:rsidP="004666DD">
      <w:pPr>
        <w:spacing w:line="480" w:lineRule="auto"/>
        <w:rPr>
          <w:sz w:val="24"/>
          <w:szCs w:val="24"/>
        </w:rPr>
      </w:pPr>
      <w:r w:rsidRPr="001C653C">
        <w:rPr>
          <w:sz w:val="24"/>
          <w:szCs w:val="24"/>
        </w:rPr>
        <w:lastRenderedPageBreak/>
        <w:t>Treatment of complications such as UTI,</w:t>
      </w:r>
      <w:r w:rsidR="00276A2D">
        <w:rPr>
          <w:sz w:val="24"/>
          <w:szCs w:val="24"/>
        </w:rPr>
        <w:t xml:space="preserve"> acute retention of urine (</w:t>
      </w:r>
      <w:r w:rsidRPr="001C653C">
        <w:rPr>
          <w:sz w:val="24"/>
          <w:szCs w:val="24"/>
        </w:rPr>
        <w:t>ARU</w:t>
      </w:r>
      <w:r w:rsidR="00276A2D">
        <w:rPr>
          <w:sz w:val="24"/>
          <w:szCs w:val="24"/>
        </w:rPr>
        <w:t>)</w:t>
      </w:r>
      <w:r w:rsidRPr="001C653C">
        <w:rPr>
          <w:sz w:val="24"/>
          <w:szCs w:val="24"/>
        </w:rPr>
        <w:t>,</w:t>
      </w:r>
      <w:r w:rsidR="00276A2D">
        <w:rPr>
          <w:sz w:val="24"/>
          <w:szCs w:val="24"/>
        </w:rPr>
        <w:t xml:space="preserve"> erectile dysfunction/ i</w:t>
      </w:r>
      <w:r w:rsidRPr="001C653C">
        <w:rPr>
          <w:sz w:val="24"/>
          <w:szCs w:val="24"/>
        </w:rPr>
        <w:t>mpotence, obstructive uropathy and affordable medications all hav</w:t>
      </w:r>
      <w:r>
        <w:rPr>
          <w:sz w:val="24"/>
          <w:szCs w:val="24"/>
        </w:rPr>
        <w:t>e their role and may cause pain and absenteeism from work.</w:t>
      </w:r>
      <w:r w:rsidRPr="001C653C">
        <w:rPr>
          <w:sz w:val="24"/>
          <w:szCs w:val="24"/>
        </w:rPr>
        <w:t xml:space="preserve">  Deaths from complications such as uraemia, s</w:t>
      </w:r>
      <w:r>
        <w:rPr>
          <w:sz w:val="24"/>
          <w:szCs w:val="24"/>
        </w:rPr>
        <w:t>epticaemia and haemorrhage have</w:t>
      </w:r>
      <w:r w:rsidRPr="001C653C">
        <w:rPr>
          <w:sz w:val="24"/>
          <w:szCs w:val="24"/>
        </w:rPr>
        <w:t xml:space="preserve"> economic impacts.</w:t>
      </w:r>
      <w:r>
        <w:rPr>
          <w:sz w:val="24"/>
          <w:szCs w:val="24"/>
        </w:rPr>
        <w:t xml:space="preserve">  </w:t>
      </w:r>
    </w:p>
    <w:p w:rsidR="00620A8A" w:rsidRPr="001C653C" w:rsidRDefault="00160ED3" w:rsidP="004666DD">
      <w:pPr>
        <w:spacing w:line="480" w:lineRule="auto"/>
        <w:rPr>
          <w:sz w:val="24"/>
          <w:szCs w:val="24"/>
        </w:rPr>
      </w:pPr>
      <w:r>
        <w:rPr>
          <w:sz w:val="24"/>
          <w:szCs w:val="24"/>
        </w:rPr>
        <w:t>For direct medical costs including</w:t>
      </w:r>
      <w:r w:rsidR="00620A8A" w:rsidRPr="001C653C">
        <w:rPr>
          <w:sz w:val="24"/>
          <w:szCs w:val="24"/>
        </w:rPr>
        <w:t xml:space="preserve"> investigation, medicatio</w:t>
      </w:r>
      <w:r w:rsidR="00620A8A">
        <w:rPr>
          <w:sz w:val="24"/>
          <w:szCs w:val="24"/>
        </w:rPr>
        <w:t>n</w:t>
      </w:r>
      <w:r>
        <w:rPr>
          <w:sz w:val="24"/>
          <w:szCs w:val="24"/>
        </w:rPr>
        <w:t>s</w:t>
      </w:r>
      <w:r w:rsidR="00620A8A">
        <w:rPr>
          <w:sz w:val="24"/>
          <w:szCs w:val="24"/>
        </w:rPr>
        <w:t xml:space="preserve"> and surgical treatment is</w:t>
      </w:r>
      <w:r w:rsidR="00620A8A" w:rsidRPr="001C653C">
        <w:rPr>
          <w:sz w:val="24"/>
          <w:szCs w:val="24"/>
        </w:rPr>
        <w:t xml:space="preserve"> enormous.  In USA 1.1 BN U$ associated with work absenteeism due to BPH/BPE.  It also limits the quality of life and</w:t>
      </w:r>
      <w:r>
        <w:rPr>
          <w:sz w:val="24"/>
          <w:szCs w:val="24"/>
        </w:rPr>
        <w:t xml:space="preserve"> lead to</w:t>
      </w:r>
      <w:r w:rsidR="00620A8A" w:rsidRPr="001C653C">
        <w:rPr>
          <w:sz w:val="24"/>
          <w:szCs w:val="24"/>
        </w:rPr>
        <w:t xml:space="preserve"> premature retirement from morbidity in &lt;60 year old men.</w:t>
      </w:r>
      <w:r w:rsidR="00620A8A">
        <w:rPr>
          <w:sz w:val="24"/>
          <w:szCs w:val="24"/>
        </w:rPr>
        <w:t xml:space="preserve">   </w:t>
      </w:r>
      <w:r w:rsidR="00620A8A" w:rsidRPr="001C653C">
        <w:rPr>
          <w:sz w:val="24"/>
          <w:szCs w:val="24"/>
        </w:rPr>
        <w:t>Others are UTI causing pain and ill effect of quality of life.</w:t>
      </w:r>
      <w:r>
        <w:rPr>
          <w:sz w:val="24"/>
          <w:szCs w:val="24"/>
        </w:rPr>
        <w:t xml:space="preserve">  There are however no comparable figures from African countries.</w:t>
      </w:r>
      <w:r w:rsidRPr="00160ED3">
        <w:rPr>
          <w:sz w:val="24"/>
          <w:szCs w:val="24"/>
          <w:vertAlign w:val="superscript"/>
        </w:rPr>
        <w:t>41, 42</w:t>
      </w:r>
    </w:p>
    <w:p w:rsidR="00620A8A" w:rsidRPr="001C653C" w:rsidRDefault="00620A8A" w:rsidP="004666DD">
      <w:pPr>
        <w:spacing w:after="0" w:line="480" w:lineRule="auto"/>
        <w:rPr>
          <w:sz w:val="24"/>
          <w:szCs w:val="24"/>
          <w:u w:val="single"/>
        </w:rPr>
      </w:pPr>
      <w:r w:rsidRPr="001C653C">
        <w:rPr>
          <w:sz w:val="24"/>
          <w:szCs w:val="24"/>
          <w:u w:val="single"/>
        </w:rPr>
        <w:t>CARCINOMA OF PROSTATE</w:t>
      </w:r>
    </w:p>
    <w:p w:rsidR="00620A8A" w:rsidRPr="004666DD" w:rsidRDefault="00620A8A" w:rsidP="004666DD">
      <w:pPr>
        <w:spacing w:after="0" w:line="480" w:lineRule="auto"/>
        <w:rPr>
          <w:sz w:val="24"/>
          <w:szCs w:val="24"/>
          <w:vertAlign w:val="superscript"/>
        </w:rPr>
      </w:pPr>
      <w:r w:rsidRPr="001C653C">
        <w:rPr>
          <w:sz w:val="24"/>
          <w:szCs w:val="24"/>
        </w:rPr>
        <w:t xml:space="preserve">Overall </w:t>
      </w:r>
      <w:r>
        <w:rPr>
          <w:sz w:val="24"/>
          <w:szCs w:val="24"/>
        </w:rPr>
        <w:t>PC causes 18% of disorders of</w:t>
      </w:r>
      <w:r w:rsidR="00AA5581">
        <w:rPr>
          <w:sz w:val="24"/>
          <w:szCs w:val="24"/>
        </w:rPr>
        <w:t xml:space="preserve"> the prostate gland.  The world</w:t>
      </w:r>
      <w:r>
        <w:rPr>
          <w:sz w:val="24"/>
          <w:szCs w:val="24"/>
        </w:rPr>
        <w:t>wide incidence</w:t>
      </w:r>
      <w:r w:rsidR="002A219A">
        <w:rPr>
          <w:sz w:val="24"/>
          <w:szCs w:val="24"/>
        </w:rPr>
        <w:t xml:space="preserve"> in men over 50 years</w:t>
      </w:r>
      <w:r>
        <w:rPr>
          <w:sz w:val="24"/>
          <w:szCs w:val="24"/>
        </w:rPr>
        <w:t xml:space="preserve"> is 11.7% that is 15</w:t>
      </w:r>
      <w:r w:rsidRPr="00060113">
        <w:rPr>
          <w:sz w:val="24"/>
          <w:szCs w:val="24"/>
          <w:vertAlign w:val="superscript"/>
        </w:rPr>
        <w:t>th</w:t>
      </w:r>
      <w:r>
        <w:rPr>
          <w:sz w:val="24"/>
          <w:szCs w:val="24"/>
        </w:rPr>
        <w:t xml:space="preserve"> commonest of new cancers worldwide, 19% of new cancers in developed countries and 5% in developing countries.</w:t>
      </w:r>
      <w:r w:rsidR="002A219A" w:rsidRPr="002A219A">
        <w:rPr>
          <w:sz w:val="24"/>
          <w:szCs w:val="24"/>
          <w:vertAlign w:val="superscript"/>
        </w:rPr>
        <w:t>28</w:t>
      </w:r>
      <w:r>
        <w:rPr>
          <w:sz w:val="24"/>
          <w:szCs w:val="24"/>
        </w:rPr>
        <w:t xml:space="preserve">  The prevalence per population is lowest in Asia/China 1.9% or 10/100,000 in Caucasian Americans 1.4 – 2.4% or 104/100,000, African Americans 2.2 – 5.1% or 272/100,000, in Caribbean Men about 5 – 10% and we have established in Ghanaian Men from 6.3% </w:t>
      </w:r>
      <w:r w:rsidR="002A219A">
        <w:rPr>
          <w:sz w:val="24"/>
          <w:szCs w:val="24"/>
        </w:rPr>
        <w:t xml:space="preserve">- 7% which is on the high side.  </w:t>
      </w:r>
      <w:proofErr w:type="gramStart"/>
      <w:r w:rsidR="002A219A">
        <w:rPr>
          <w:sz w:val="24"/>
          <w:szCs w:val="24"/>
        </w:rPr>
        <w:t xml:space="preserve">Fig 4, </w:t>
      </w:r>
      <w:r w:rsidR="00A15B40">
        <w:rPr>
          <w:sz w:val="24"/>
          <w:szCs w:val="24"/>
        </w:rPr>
        <w:t>Fig 5</w:t>
      </w:r>
      <w:r w:rsidR="00AA5581">
        <w:rPr>
          <w:sz w:val="24"/>
          <w:szCs w:val="24"/>
          <w:vertAlign w:val="superscript"/>
        </w:rPr>
        <w:t xml:space="preserve">20, </w:t>
      </w:r>
      <w:r w:rsidR="00160ED3">
        <w:rPr>
          <w:sz w:val="24"/>
          <w:szCs w:val="24"/>
          <w:vertAlign w:val="superscript"/>
        </w:rPr>
        <w:t>28, 29, 33, 35, 43, 44, 45, 46, 47, 48</w:t>
      </w:r>
      <w:r>
        <w:rPr>
          <w:sz w:val="24"/>
          <w:szCs w:val="24"/>
        </w:rPr>
        <w:t>.</w:t>
      </w:r>
      <w:proofErr w:type="gramEnd"/>
      <w:r>
        <w:rPr>
          <w:sz w:val="24"/>
          <w:szCs w:val="24"/>
        </w:rPr>
        <w:t xml:space="preserve"> </w:t>
      </w:r>
      <w:r w:rsidR="004666DD">
        <w:rPr>
          <w:sz w:val="24"/>
          <w:szCs w:val="24"/>
          <w:vertAlign w:val="superscript"/>
        </w:rPr>
        <w:t xml:space="preserve"> </w:t>
      </w:r>
      <w:r w:rsidR="004666DD">
        <w:rPr>
          <w:bCs/>
          <w:sz w:val="24"/>
          <w:szCs w:val="24"/>
        </w:rPr>
        <w:t xml:space="preserve">  </w:t>
      </w:r>
      <w:r>
        <w:rPr>
          <w:bCs/>
          <w:sz w:val="24"/>
          <w:szCs w:val="24"/>
        </w:rPr>
        <w:t>Osegbe</w:t>
      </w:r>
      <w:r w:rsidR="00160ED3">
        <w:rPr>
          <w:bCs/>
          <w:sz w:val="24"/>
          <w:szCs w:val="24"/>
          <w:vertAlign w:val="superscript"/>
        </w:rPr>
        <w:t>34</w:t>
      </w:r>
      <w:r>
        <w:rPr>
          <w:bCs/>
          <w:sz w:val="24"/>
          <w:szCs w:val="24"/>
        </w:rPr>
        <w:t xml:space="preserve"> reported highest hospital incidence of PC in Lagos</w:t>
      </w:r>
      <w:r w:rsidR="00160ED3">
        <w:rPr>
          <w:bCs/>
          <w:sz w:val="24"/>
          <w:szCs w:val="24"/>
        </w:rPr>
        <w:t>.</w:t>
      </w:r>
      <w:r>
        <w:rPr>
          <w:bCs/>
          <w:sz w:val="24"/>
          <w:szCs w:val="24"/>
        </w:rPr>
        <w:t xml:space="preserve">  Heyns</w:t>
      </w:r>
      <w:r w:rsidR="00160ED3">
        <w:rPr>
          <w:bCs/>
          <w:sz w:val="24"/>
          <w:szCs w:val="24"/>
          <w:vertAlign w:val="superscript"/>
        </w:rPr>
        <w:t>33</w:t>
      </w:r>
      <w:r w:rsidR="00160ED3">
        <w:rPr>
          <w:bCs/>
          <w:sz w:val="24"/>
          <w:szCs w:val="24"/>
        </w:rPr>
        <w:t xml:space="preserve"> reported</w:t>
      </w:r>
      <w:r>
        <w:rPr>
          <w:bCs/>
          <w:sz w:val="24"/>
          <w:szCs w:val="24"/>
        </w:rPr>
        <w:t xml:space="preserve"> from South Africa that black men had significantly</w:t>
      </w:r>
      <w:r w:rsidR="002A219A">
        <w:rPr>
          <w:bCs/>
          <w:sz w:val="24"/>
          <w:szCs w:val="24"/>
        </w:rPr>
        <w:t xml:space="preserve"> more</w:t>
      </w:r>
      <w:r>
        <w:rPr>
          <w:bCs/>
          <w:sz w:val="24"/>
          <w:szCs w:val="24"/>
        </w:rPr>
        <w:t xml:space="preserve"> advanced</w:t>
      </w:r>
      <w:r w:rsidR="002A219A">
        <w:rPr>
          <w:bCs/>
          <w:sz w:val="24"/>
          <w:szCs w:val="24"/>
        </w:rPr>
        <w:t xml:space="preserve"> stage of</w:t>
      </w:r>
      <w:r>
        <w:rPr>
          <w:bCs/>
          <w:sz w:val="24"/>
          <w:szCs w:val="24"/>
        </w:rPr>
        <w:t xml:space="preserve"> PC with high PSA than whites and coloured in Western Cape.  Jackson</w:t>
      </w:r>
      <w:r w:rsidR="00E00B5A">
        <w:rPr>
          <w:bCs/>
          <w:sz w:val="24"/>
          <w:szCs w:val="24"/>
          <w:vertAlign w:val="superscript"/>
        </w:rPr>
        <w:t xml:space="preserve">32 </w:t>
      </w:r>
      <w:r>
        <w:rPr>
          <w:bCs/>
          <w:sz w:val="24"/>
          <w:szCs w:val="24"/>
        </w:rPr>
        <w:t>reported that even though clinical incidence of PC was higher in African Americans in Washington than blacks from Nigeria and Ghana, the autopsy prevalence was similar.  In review of the literature, Angwafo</w:t>
      </w:r>
      <w:r w:rsidR="00160ED3">
        <w:rPr>
          <w:bCs/>
          <w:sz w:val="24"/>
          <w:szCs w:val="24"/>
          <w:vertAlign w:val="superscript"/>
        </w:rPr>
        <w:t>49</w:t>
      </w:r>
      <w:r>
        <w:rPr>
          <w:bCs/>
          <w:sz w:val="24"/>
          <w:szCs w:val="24"/>
        </w:rPr>
        <w:t xml:space="preserve"> pointed out </w:t>
      </w:r>
      <w:r>
        <w:rPr>
          <w:bCs/>
          <w:sz w:val="24"/>
          <w:szCs w:val="24"/>
        </w:rPr>
        <w:lastRenderedPageBreak/>
        <w:t>the high incidence in North Americans, intermediate incidence in Europe but low incidence in sub Saharan Africa and Asia may be because of environmental factors.   Rebbeck</w:t>
      </w:r>
      <w:r w:rsidR="00E00B5A">
        <w:rPr>
          <w:bCs/>
          <w:sz w:val="24"/>
          <w:szCs w:val="24"/>
          <w:vertAlign w:val="superscript"/>
        </w:rPr>
        <w:t>50</w:t>
      </w:r>
      <w:r w:rsidR="008F2A68">
        <w:rPr>
          <w:bCs/>
          <w:sz w:val="24"/>
          <w:szCs w:val="24"/>
        </w:rPr>
        <w:t xml:space="preserve"> and Jallo</w:t>
      </w:r>
      <w:r>
        <w:rPr>
          <w:bCs/>
          <w:sz w:val="24"/>
          <w:szCs w:val="24"/>
        </w:rPr>
        <w:t>h</w:t>
      </w:r>
      <w:r w:rsidR="00E00B5A">
        <w:rPr>
          <w:bCs/>
          <w:sz w:val="24"/>
          <w:szCs w:val="24"/>
          <w:vertAlign w:val="superscript"/>
        </w:rPr>
        <w:t>51</w:t>
      </w:r>
      <w:r>
        <w:rPr>
          <w:bCs/>
          <w:sz w:val="24"/>
          <w:szCs w:val="24"/>
        </w:rPr>
        <w:t xml:space="preserve"> also report</w:t>
      </w:r>
      <w:r w:rsidR="00160ED3">
        <w:rPr>
          <w:bCs/>
          <w:sz w:val="24"/>
          <w:szCs w:val="24"/>
        </w:rPr>
        <w:t xml:space="preserve"> of high a</w:t>
      </w:r>
      <w:r w:rsidRPr="00A80DD2">
        <w:rPr>
          <w:bCs/>
          <w:sz w:val="24"/>
          <w:szCs w:val="24"/>
        </w:rPr>
        <w:t xml:space="preserve">ggressiveness (high Gleason scores </w:t>
      </w:r>
      <w:r>
        <w:rPr>
          <w:bCs/>
          <w:sz w:val="24"/>
          <w:szCs w:val="24"/>
        </w:rPr>
        <w:t xml:space="preserve">G&gt;7 </w:t>
      </w:r>
      <w:r w:rsidRPr="00A80DD2">
        <w:rPr>
          <w:bCs/>
          <w:sz w:val="24"/>
          <w:szCs w:val="24"/>
        </w:rPr>
        <w:t>an</w:t>
      </w:r>
      <w:r w:rsidR="00160ED3">
        <w:rPr>
          <w:bCs/>
          <w:sz w:val="24"/>
          <w:szCs w:val="24"/>
        </w:rPr>
        <w:t>d advanced clinical stages) in men of African d</w:t>
      </w:r>
      <w:r w:rsidRPr="00A80DD2">
        <w:rPr>
          <w:bCs/>
          <w:sz w:val="24"/>
          <w:szCs w:val="24"/>
        </w:rPr>
        <w:t>esce</w:t>
      </w:r>
      <w:r>
        <w:rPr>
          <w:bCs/>
          <w:sz w:val="24"/>
          <w:szCs w:val="24"/>
        </w:rPr>
        <w:t>nt.</w:t>
      </w:r>
      <w:r w:rsidR="00160ED3">
        <w:rPr>
          <w:bCs/>
          <w:sz w:val="24"/>
          <w:szCs w:val="24"/>
        </w:rPr>
        <w:t xml:space="preserve"> </w:t>
      </w:r>
      <w:r w:rsidR="002A219A">
        <w:rPr>
          <w:bCs/>
          <w:sz w:val="24"/>
          <w:szCs w:val="24"/>
        </w:rPr>
        <w:t xml:space="preserve">Table 5 </w:t>
      </w:r>
      <w:r w:rsidR="002A219A" w:rsidRPr="002A219A">
        <w:rPr>
          <w:bCs/>
          <w:sz w:val="24"/>
          <w:szCs w:val="24"/>
          <w:vertAlign w:val="superscript"/>
        </w:rPr>
        <w:t>47, 50</w:t>
      </w:r>
      <w:r w:rsidR="00160ED3">
        <w:rPr>
          <w:bCs/>
          <w:sz w:val="24"/>
          <w:szCs w:val="24"/>
        </w:rPr>
        <w:t xml:space="preserve">  </w:t>
      </w:r>
      <w:r>
        <w:rPr>
          <w:bCs/>
          <w:sz w:val="24"/>
          <w:szCs w:val="24"/>
        </w:rPr>
        <w:t>They also blame l</w:t>
      </w:r>
      <w:r w:rsidRPr="00A80DD2">
        <w:rPr>
          <w:bCs/>
          <w:sz w:val="24"/>
          <w:szCs w:val="24"/>
        </w:rPr>
        <w:t xml:space="preserve">ate reporting </w:t>
      </w:r>
      <w:r>
        <w:rPr>
          <w:bCs/>
          <w:sz w:val="24"/>
          <w:szCs w:val="24"/>
        </w:rPr>
        <w:t>and more locally advanced or metastatic cases</w:t>
      </w:r>
      <w:r w:rsidRPr="00A80DD2">
        <w:rPr>
          <w:bCs/>
          <w:sz w:val="24"/>
          <w:szCs w:val="24"/>
        </w:rPr>
        <w:t xml:space="preserve"> and more aggressive t</w:t>
      </w:r>
      <w:r>
        <w:rPr>
          <w:bCs/>
          <w:sz w:val="24"/>
          <w:szCs w:val="24"/>
        </w:rPr>
        <w:t xml:space="preserve">umours from Nigeria and Senegal but no population based screening or autopsy </w:t>
      </w:r>
      <w:r w:rsidR="00160ED3">
        <w:rPr>
          <w:bCs/>
          <w:sz w:val="24"/>
          <w:szCs w:val="24"/>
        </w:rPr>
        <w:t xml:space="preserve">prevalence </w:t>
      </w:r>
      <w:r>
        <w:rPr>
          <w:bCs/>
          <w:sz w:val="24"/>
          <w:szCs w:val="24"/>
        </w:rPr>
        <w:t>have been reported from these countries</w:t>
      </w:r>
      <w:r w:rsidR="008F2A68">
        <w:rPr>
          <w:bCs/>
          <w:sz w:val="24"/>
          <w:szCs w:val="24"/>
        </w:rPr>
        <w:t xml:space="preserve"> by the authors</w:t>
      </w:r>
      <w:r>
        <w:rPr>
          <w:bCs/>
          <w:sz w:val="24"/>
          <w:szCs w:val="24"/>
        </w:rPr>
        <w:t>.</w:t>
      </w:r>
    </w:p>
    <w:p w:rsidR="00620A8A" w:rsidRPr="00A80DD2" w:rsidRDefault="00620A8A" w:rsidP="004666DD">
      <w:pPr>
        <w:spacing w:line="480" w:lineRule="auto"/>
        <w:rPr>
          <w:bCs/>
          <w:sz w:val="24"/>
          <w:szCs w:val="24"/>
        </w:rPr>
      </w:pPr>
      <w:r w:rsidRPr="00A80DD2">
        <w:rPr>
          <w:bCs/>
          <w:sz w:val="24"/>
          <w:szCs w:val="24"/>
        </w:rPr>
        <w:t xml:space="preserve">Examination of data from USA, Caribbean, </w:t>
      </w:r>
      <w:proofErr w:type="gramStart"/>
      <w:r w:rsidRPr="00A80DD2">
        <w:rPr>
          <w:bCs/>
          <w:sz w:val="24"/>
          <w:szCs w:val="24"/>
        </w:rPr>
        <w:t>SSA</w:t>
      </w:r>
      <w:proofErr w:type="gramEnd"/>
      <w:r w:rsidRPr="00A80DD2">
        <w:rPr>
          <w:bCs/>
          <w:sz w:val="24"/>
          <w:szCs w:val="24"/>
        </w:rPr>
        <w:t xml:space="preserve"> indicate tumour stage and </w:t>
      </w:r>
      <w:r w:rsidR="002A219A">
        <w:rPr>
          <w:bCs/>
          <w:sz w:val="24"/>
          <w:szCs w:val="24"/>
        </w:rPr>
        <w:t xml:space="preserve">Gleason </w:t>
      </w:r>
      <w:r w:rsidRPr="00A80DD2">
        <w:rPr>
          <w:bCs/>
          <w:sz w:val="24"/>
          <w:szCs w:val="24"/>
        </w:rPr>
        <w:t>Grade</w:t>
      </w:r>
      <w:r w:rsidR="002A219A">
        <w:rPr>
          <w:bCs/>
          <w:sz w:val="24"/>
          <w:szCs w:val="24"/>
        </w:rPr>
        <w:t xml:space="preserve"> were</w:t>
      </w:r>
      <w:r w:rsidRPr="00A80DD2">
        <w:rPr>
          <w:bCs/>
          <w:sz w:val="24"/>
          <w:szCs w:val="24"/>
        </w:rPr>
        <w:t xml:space="preserve"> highest in </w:t>
      </w:r>
      <w:r w:rsidR="00160ED3">
        <w:rPr>
          <w:bCs/>
          <w:sz w:val="24"/>
          <w:szCs w:val="24"/>
        </w:rPr>
        <w:t>Sub-Saharan Africa (</w:t>
      </w:r>
      <w:r w:rsidRPr="00A80DD2">
        <w:rPr>
          <w:bCs/>
          <w:sz w:val="24"/>
          <w:szCs w:val="24"/>
        </w:rPr>
        <w:t>SSA</w:t>
      </w:r>
      <w:r w:rsidR="00160ED3">
        <w:rPr>
          <w:bCs/>
          <w:sz w:val="24"/>
          <w:szCs w:val="24"/>
        </w:rPr>
        <w:t>)</w:t>
      </w:r>
      <w:r w:rsidRPr="00A80DD2">
        <w:rPr>
          <w:bCs/>
          <w:sz w:val="24"/>
          <w:szCs w:val="24"/>
        </w:rPr>
        <w:t xml:space="preserve">. </w:t>
      </w:r>
      <w:r w:rsidR="002A219A">
        <w:rPr>
          <w:bCs/>
          <w:sz w:val="24"/>
          <w:szCs w:val="24"/>
        </w:rPr>
        <w:t xml:space="preserve">Table 5 </w:t>
      </w:r>
      <w:r w:rsidR="002A219A" w:rsidRPr="002A219A">
        <w:rPr>
          <w:bCs/>
          <w:sz w:val="24"/>
          <w:szCs w:val="24"/>
          <w:vertAlign w:val="superscript"/>
        </w:rPr>
        <w:t>47, 50</w:t>
      </w:r>
      <w:r w:rsidRPr="00A80DD2">
        <w:rPr>
          <w:bCs/>
          <w:sz w:val="24"/>
          <w:szCs w:val="24"/>
        </w:rPr>
        <w:t xml:space="preserve"> In USA death rates</w:t>
      </w:r>
      <w:r>
        <w:rPr>
          <w:bCs/>
          <w:sz w:val="24"/>
          <w:szCs w:val="24"/>
        </w:rPr>
        <w:t xml:space="preserve"> have been </w:t>
      </w:r>
      <w:r w:rsidRPr="00A80DD2">
        <w:rPr>
          <w:bCs/>
          <w:sz w:val="24"/>
          <w:szCs w:val="24"/>
        </w:rPr>
        <w:t>declining</w:t>
      </w:r>
      <w:r>
        <w:rPr>
          <w:bCs/>
          <w:sz w:val="24"/>
          <w:szCs w:val="24"/>
        </w:rPr>
        <w:t xml:space="preserve"> from 1990</w:t>
      </w:r>
      <w:r w:rsidRPr="00A80DD2">
        <w:rPr>
          <w:bCs/>
          <w:sz w:val="24"/>
          <w:szCs w:val="24"/>
        </w:rPr>
        <w:t xml:space="preserve"> due to early detection</w:t>
      </w:r>
      <w:r>
        <w:rPr>
          <w:bCs/>
          <w:sz w:val="24"/>
          <w:szCs w:val="24"/>
        </w:rPr>
        <w:t xml:space="preserve"> and it is</w:t>
      </w:r>
      <w:r w:rsidRPr="00A80DD2">
        <w:rPr>
          <w:bCs/>
          <w:sz w:val="24"/>
          <w:szCs w:val="24"/>
        </w:rPr>
        <w:t xml:space="preserve"> hope</w:t>
      </w:r>
      <w:r>
        <w:rPr>
          <w:bCs/>
          <w:sz w:val="24"/>
          <w:szCs w:val="24"/>
        </w:rPr>
        <w:t>d</w:t>
      </w:r>
      <w:r w:rsidRPr="00A80DD2">
        <w:rPr>
          <w:bCs/>
          <w:sz w:val="24"/>
          <w:szCs w:val="24"/>
        </w:rPr>
        <w:t xml:space="preserve"> this can </w:t>
      </w:r>
      <w:r>
        <w:rPr>
          <w:bCs/>
          <w:sz w:val="24"/>
          <w:szCs w:val="24"/>
        </w:rPr>
        <w:t>be emulated by</w:t>
      </w:r>
      <w:r w:rsidRPr="00A80DD2">
        <w:rPr>
          <w:bCs/>
          <w:sz w:val="24"/>
          <w:szCs w:val="24"/>
        </w:rPr>
        <w:t xml:space="preserve"> Ghana</w:t>
      </w:r>
      <w:r>
        <w:rPr>
          <w:bCs/>
          <w:sz w:val="24"/>
          <w:szCs w:val="24"/>
        </w:rPr>
        <w:t xml:space="preserve"> </w:t>
      </w:r>
      <w:r w:rsidR="002A219A">
        <w:rPr>
          <w:bCs/>
          <w:sz w:val="24"/>
          <w:szCs w:val="24"/>
        </w:rPr>
        <w:t xml:space="preserve">(Fig. 4) </w:t>
      </w:r>
      <w:r>
        <w:rPr>
          <w:bCs/>
          <w:sz w:val="24"/>
          <w:szCs w:val="24"/>
        </w:rPr>
        <w:t>and other African countries</w:t>
      </w:r>
      <w:r w:rsidRPr="00A80DD2">
        <w:rPr>
          <w:bCs/>
          <w:sz w:val="24"/>
          <w:szCs w:val="24"/>
        </w:rPr>
        <w:t xml:space="preserve">.   There is higher proportion of organ confined disease in USA and advanced countries than in Caribbean and </w:t>
      </w:r>
      <w:r>
        <w:rPr>
          <w:bCs/>
          <w:sz w:val="24"/>
          <w:szCs w:val="24"/>
        </w:rPr>
        <w:t>Sub Saharan Africa (</w:t>
      </w:r>
      <w:r w:rsidRPr="00A80DD2">
        <w:rPr>
          <w:bCs/>
          <w:sz w:val="24"/>
          <w:szCs w:val="24"/>
        </w:rPr>
        <w:t>SSA</w:t>
      </w:r>
      <w:r>
        <w:rPr>
          <w:bCs/>
          <w:sz w:val="24"/>
          <w:szCs w:val="24"/>
        </w:rPr>
        <w:t>)</w:t>
      </w:r>
      <w:r w:rsidRPr="00A80DD2">
        <w:rPr>
          <w:bCs/>
          <w:sz w:val="24"/>
          <w:szCs w:val="24"/>
        </w:rPr>
        <w:t xml:space="preserve"> </w:t>
      </w:r>
      <w:r w:rsidRPr="002A219A">
        <w:rPr>
          <w:bCs/>
          <w:sz w:val="24"/>
          <w:szCs w:val="24"/>
        </w:rPr>
        <w:t>(Table 5)</w:t>
      </w:r>
      <w:r w:rsidR="002A219A" w:rsidRPr="002A219A">
        <w:rPr>
          <w:bCs/>
          <w:sz w:val="24"/>
          <w:szCs w:val="24"/>
          <w:vertAlign w:val="superscript"/>
        </w:rPr>
        <w:t>47,</w:t>
      </w:r>
      <w:r w:rsidR="002A219A">
        <w:rPr>
          <w:bCs/>
          <w:sz w:val="24"/>
          <w:szCs w:val="24"/>
          <w:vertAlign w:val="superscript"/>
        </w:rPr>
        <w:t xml:space="preserve"> </w:t>
      </w:r>
      <w:r w:rsidR="00E00B5A" w:rsidRPr="002A219A">
        <w:rPr>
          <w:bCs/>
          <w:sz w:val="24"/>
          <w:szCs w:val="24"/>
          <w:vertAlign w:val="superscript"/>
        </w:rPr>
        <w:t>50</w:t>
      </w:r>
      <w:r w:rsidRPr="002A219A">
        <w:rPr>
          <w:bCs/>
          <w:sz w:val="24"/>
          <w:szCs w:val="24"/>
        </w:rPr>
        <w:t>.</w:t>
      </w:r>
    </w:p>
    <w:p w:rsidR="00620A8A" w:rsidRPr="00A80DD2" w:rsidRDefault="00620A8A" w:rsidP="004666DD">
      <w:pPr>
        <w:spacing w:after="0" w:line="480" w:lineRule="auto"/>
        <w:rPr>
          <w:bCs/>
          <w:sz w:val="24"/>
          <w:szCs w:val="24"/>
          <w:u w:val="single"/>
        </w:rPr>
      </w:pPr>
      <w:r w:rsidRPr="00A80DD2">
        <w:rPr>
          <w:bCs/>
          <w:sz w:val="24"/>
          <w:szCs w:val="24"/>
          <w:u w:val="single"/>
        </w:rPr>
        <w:t>Mortalities for Prostate Cancer</w:t>
      </w:r>
    </w:p>
    <w:p w:rsidR="00620A8A" w:rsidRPr="00A80DD2" w:rsidRDefault="00620A8A" w:rsidP="004666DD">
      <w:pPr>
        <w:spacing w:after="0" w:line="480" w:lineRule="auto"/>
        <w:rPr>
          <w:bCs/>
          <w:sz w:val="24"/>
          <w:szCs w:val="24"/>
        </w:rPr>
      </w:pPr>
      <w:r w:rsidRPr="00A80DD2">
        <w:rPr>
          <w:bCs/>
          <w:sz w:val="24"/>
          <w:szCs w:val="24"/>
        </w:rPr>
        <w:t xml:space="preserve">The 5 year survival rates of newly diagnosed PC are estimated at 80 – 90% in USA and </w:t>
      </w:r>
      <w:proofErr w:type="gramStart"/>
      <w:r w:rsidRPr="00A80DD2">
        <w:rPr>
          <w:bCs/>
          <w:sz w:val="24"/>
          <w:szCs w:val="24"/>
        </w:rPr>
        <w:t>under</w:t>
      </w:r>
      <w:proofErr w:type="gramEnd"/>
      <w:r w:rsidRPr="00A80DD2">
        <w:rPr>
          <w:bCs/>
          <w:sz w:val="24"/>
          <w:szCs w:val="24"/>
        </w:rPr>
        <w:t xml:space="preserve"> 40% in Denmark, Poland and Algeria.  Regions with higher proportions of advance</w:t>
      </w:r>
      <w:r>
        <w:rPr>
          <w:bCs/>
          <w:sz w:val="24"/>
          <w:szCs w:val="24"/>
        </w:rPr>
        <w:t>d</w:t>
      </w:r>
      <w:r w:rsidRPr="00A80DD2">
        <w:rPr>
          <w:bCs/>
          <w:sz w:val="24"/>
          <w:szCs w:val="24"/>
        </w:rPr>
        <w:t xml:space="preserve"> PC in SSA reported lowest mortality figures because of under reporting, lack of cancer registries, lack of PSA screening and lac</w:t>
      </w:r>
      <w:r>
        <w:rPr>
          <w:bCs/>
          <w:sz w:val="24"/>
          <w:szCs w:val="24"/>
        </w:rPr>
        <w:t>k of autopsy data</w:t>
      </w:r>
      <w:r w:rsidR="002A219A">
        <w:rPr>
          <w:bCs/>
          <w:sz w:val="24"/>
          <w:szCs w:val="24"/>
        </w:rPr>
        <w:t xml:space="preserve">. Table 5 </w:t>
      </w:r>
      <w:r w:rsidR="002A219A">
        <w:rPr>
          <w:bCs/>
          <w:sz w:val="24"/>
          <w:szCs w:val="24"/>
          <w:vertAlign w:val="superscript"/>
        </w:rPr>
        <w:t>47, 5</w:t>
      </w:r>
      <w:r w:rsidR="00E00B5A">
        <w:rPr>
          <w:bCs/>
          <w:sz w:val="24"/>
          <w:szCs w:val="24"/>
          <w:vertAlign w:val="superscript"/>
        </w:rPr>
        <w:t>0</w:t>
      </w:r>
    </w:p>
    <w:p w:rsidR="00620A8A" w:rsidRPr="001C6D38" w:rsidRDefault="00620A8A" w:rsidP="004666DD">
      <w:pPr>
        <w:spacing w:line="480" w:lineRule="auto"/>
        <w:rPr>
          <w:bCs/>
          <w:sz w:val="24"/>
          <w:szCs w:val="24"/>
          <w:vertAlign w:val="superscript"/>
        </w:rPr>
      </w:pPr>
      <w:r w:rsidRPr="00A80DD2">
        <w:rPr>
          <w:bCs/>
          <w:sz w:val="24"/>
          <w:szCs w:val="24"/>
        </w:rPr>
        <w:t xml:space="preserve">Future prevention </w:t>
      </w:r>
      <w:r>
        <w:rPr>
          <w:bCs/>
          <w:sz w:val="24"/>
          <w:szCs w:val="24"/>
        </w:rPr>
        <w:t>measures include diet with low fat, low red meat, low BMI, stopping smoking a</w:t>
      </w:r>
      <w:r w:rsidR="00160ED3">
        <w:rPr>
          <w:bCs/>
          <w:sz w:val="24"/>
          <w:szCs w:val="24"/>
        </w:rPr>
        <w:t xml:space="preserve">nd chemoprevention by high </w:t>
      </w:r>
      <w:r>
        <w:rPr>
          <w:bCs/>
          <w:sz w:val="24"/>
          <w:szCs w:val="24"/>
        </w:rPr>
        <w:t xml:space="preserve">Vit E, high intake of </w:t>
      </w:r>
      <w:r w:rsidR="00160ED3">
        <w:rPr>
          <w:bCs/>
          <w:sz w:val="24"/>
          <w:szCs w:val="24"/>
        </w:rPr>
        <w:t>lycopene, s</w:t>
      </w:r>
      <w:r w:rsidRPr="00A80DD2">
        <w:rPr>
          <w:bCs/>
          <w:sz w:val="24"/>
          <w:szCs w:val="24"/>
        </w:rPr>
        <w:t>elenium,</w:t>
      </w:r>
      <w:r w:rsidR="00160ED3">
        <w:rPr>
          <w:bCs/>
          <w:sz w:val="24"/>
          <w:szCs w:val="24"/>
        </w:rPr>
        <w:t xml:space="preserve"> finasteride, oestrogens, g</w:t>
      </w:r>
      <w:r>
        <w:rPr>
          <w:bCs/>
          <w:sz w:val="24"/>
          <w:szCs w:val="24"/>
        </w:rPr>
        <w:t>enes manipulation and</w:t>
      </w:r>
      <w:r w:rsidRPr="00A80DD2">
        <w:rPr>
          <w:bCs/>
          <w:sz w:val="24"/>
          <w:szCs w:val="24"/>
        </w:rPr>
        <w:t xml:space="preserve"> prevention by Vaccinia</w:t>
      </w:r>
      <w:r>
        <w:rPr>
          <w:bCs/>
          <w:sz w:val="24"/>
          <w:szCs w:val="24"/>
        </w:rPr>
        <w:t xml:space="preserve"> immunisation</w:t>
      </w:r>
      <w:r w:rsidRPr="00A80DD2">
        <w:rPr>
          <w:bCs/>
          <w:sz w:val="24"/>
          <w:szCs w:val="24"/>
        </w:rPr>
        <w:t>.</w:t>
      </w:r>
      <w:r w:rsidR="00160ED3" w:rsidRPr="001C6D38">
        <w:rPr>
          <w:bCs/>
          <w:sz w:val="24"/>
          <w:szCs w:val="24"/>
          <w:vertAlign w:val="superscript"/>
        </w:rPr>
        <w:t>20, 28, 29, 31,</w:t>
      </w:r>
      <w:r w:rsidR="001C6D38">
        <w:rPr>
          <w:bCs/>
          <w:sz w:val="24"/>
          <w:szCs w:val="24"/>
          <w:vertAlign w:val="superscript"/>
        </w:rPr>
        <w:t xml:space="preserve"> </w:t>
      </w:r>
      <w:r w:rsidR="001C6D38" w:rsidRPr="001C6D38">
        <w:rPr>
          <w:bCs/>
          <w:sz w:val="24"/>
          <w:szCs w:val="24"/>
          <w:vertAlign w:val="superscript"/>
        </w:rPr>
        <w:t xml:space="preserve">35, 43, 44, 46, 47, </w:t>
      </w:r>
      <w:proofErr w:type="gramStart"/>
      <w:r w:rsidR="001C6D38" w:rsidRPr="001C6D38">
        <w:rPr>
          <w:bCs/>
          <w:sz w:val="24"/>
          <w:szCs w:val="24"/>
          <w:vertAlign w:val="superscript"/>
        </w:rPr>
        <w:t>48</w:t>
      </w:r>
      <w:proofErr w:type="gramEnd"/>
      <w:r w:rsidR="00160ED3" w:rsidRPr="001C6D38">
        <w:rPr>
          <w:bCs/>
          <w:sz w:val="24"/>
          <w:szCs w:val="24"/>
          <w:vertAlign w:val="superscript"/>
        </w:rPr>
        <w:t xml:space="preserve"> </w:t>
      </w:r>
    </w:p>
    <w:p w:rsidR="00620A8A" w:rsidRPr="00847F88" w:rsidRDefault="00620A8A" w:rsidP="004666DD">
      <w:pPr>
        <w:spacing w:after="0" w:line="480" w:lineRule="auto"/>
        <w:rPr>
          <w:bCs/>
          <w:sz w:val="24"/>
          <w:szCs w:val="24"/>
          <w:u w:val="single"/>
        </w:rPr>
      </w:pPr>
      <w:r w:rsidRPr="00847F88">
        <w:rPr>
          <w:bCs/>
          <w:sz w:val="24"/>
          <w:szCs w:val="24"/>
          <w:u w:val="single"/>
        </w:rPr>
        <w:t>ECONOMICS – COST OF MANAGEMENT</w:t>
      </w:r>
      <w:r w:rsidR="009B38F9">
        <w:rPr>
          <w:bCs/>
          <w:sz w:val="24"/>
          <w:szCs w:val="24"/>
          <w:u w:val="single"/>
        </w:rPr>
        <w:t xml:space="preserve"> PC</w:t>
      </w:r>
    </w:p>
    <w:p w:rsidR="00620A8A" w:rsidRDefault="00620A8A" w:rsidP="004666DD">
      <w:pPr>
        <w:spacing w:after="0" w:line="480" w:lineRule="auto"/>
        <w:rPr>
          <w:bCs/>
          <w:sz w:val="24"/>
          <w:szCs w:val="24"/>
        </w:rPr>
      </w:pPr>
      <w:r w:rsidRPr="008C10F0">
        <w:rPr>
          <w:bCs/>
          <w:sz w:val="24"/>
          <w:szCs w:val="24"/>
        </w:rPr>
        <w:lastRenderedPageBreak/>
        <w:t xml:space="preserve">From Europe </w:t>
      </w:r>
      <w:r w:rsidR="001C6D38">
        <w:rPr>
          <w:bCs/>
          <w:sz w:val="24"/>
          <w:szCs w:val="24"/>
        </w:rPr>
        <w:t xml:space="preserve">and USA </w:t>
      </w:r>
      <w:r w:rsidRPr="008C10F0">
        <w:rPr>
          <w:bCs/>
          <w:sz w:val="24"/>
          <w:szCs w:val="24"/>
        </w:rPr>
        <w:t>the cost</w:t>
      </w:r>
      <w:r>
        <w:rPr>
          <w:bCs/>
          <w:sz w:val="24"/>
          <w:szCs w:val="24"/>
        </w:rPr>
        <w:t xml:space="preserve">s of management of </w:t>
      </w:r>
      <w:r w:rsidR="001C6D38">
        <w:rPr>
          <w:bCs/>
          <w:sz w:val="24"/>
          <w:szCs w:val="24"/>
        </w:rPr>
        <w:t>PC are</w:t>
      </w:r>
      <w:r>
        <w:rPr>
          <w:bCs/>
          <w:sz w:val="24"/>
          <w:szCs w:val="24"/>
        </w:rPr>
        <w:t xml:space="preserve"> as follows: in Italy from 6575.31 euro, in UK from 2818 pounds, and in France 12731 euro, </w:t>
      </w:r>
      <w:r w:rsidR="001C6D38">
        <w:rPr>
          <w:bCs/>
          <w:sz w:val="24"/>
          <w:szCs w:val="24"/>
        </w:rPr>
        <w:t xml:space="preserve">and in </w:t>
      </w:r>
      <w:r>
        <w:rPr>
          <w:bCs/>
          <w:sz w:val="24"/>
          <w:szCs w:val="24"/>
        </w:rPr>
        <w:t>USA</w:t>
      </w:r>
      <w:r w:rsidR="001C6D38">
        <w:rPr>
          <w:bCs/>
          <w:sz w:val="24"/>
          <w:szCs w:val="24"/>
        </w:rPr>
        <w:t xml:space="preserve"> from $12,000.</w:t>
      </w:r>
      <w:r w:rsidR="00E00B5A">
        <w:rPr>
          <w:bCs/>
          <w:sz w:val="24"/>
          <w:szCs w:val="24"/>
          <w:vertAlign w:val="superscript"/>
        </w:rPr>
        <w:t>52, 53</w:t>
      </w:r>
      <w:r>
        <w:rPr>
          <w:bCs/>
          <w:sz w:val="24"/>
          <w:szCs w:val="24"/>
          <w:vertAlign w:val="superscript"/>
        </w:rPr>
        <w:t xml:space="preserve">, </w:t>
      </w:r>
      <w:r w:rsidR="00E00B5A">
        <w:rPr>
          <w:bCs/>
          <w:sz w:val="24"/>
          <w:szCs w:val="24"/>
          <w:vertAlign w:val="superscript"/>
        </w:rPr>
        <w:t>54</w:t>
      </w:r>
      <w:r w:rsidR="001C6D38">
        <w:rPr>
          <w:bCs/>
          <w:sz w:val="24"/>
          <w:szCs w:val="24"/>
        </w:rPr>
        <w:t xml:space="preserve"> </w:t>
      </w:r>
      <w:proofErr w:type="gramStart"/>
      <w:r>
        <w:rPr>
          <w:bCs/>
          <w:sz w:val="24"/>
          <w:szCs w:val="24"/>
        </w:rPr>
        <w:t>These</w:t>
      </w:r>
      <w:proofErr w:type="gramEnd"/>
      <w:r>
        <w:rPr>
          <w:bCs/>
          <w:sz w:val="24"/>
          <w:szCs w:val="24"/>
        </w:rPr>
        <w:t xml:space="preserve"> </w:t>
      </w:r>
      <w:r w:rsidR="002A219A">
        <w:rPr>
          <w:bCs/>
          <w:sz w:val="24"/>
          <w:szCs w:val="24"/>
        </w:rPr>
        <w:t>costs are very high for low and low middle income countries. T</w:t>
      </w:r>
      <w:r>
        <w:rPr>
          <w:bCs/>
          <w:sz w:val="24"/>
          <w:szCs w:val="24"/>
        </w:rPr>
        <w:t xml:space="preserve">here have not been comparable figures from Africa.   In Ghana, </w:t>
      </w:r>
      <w:r w:rsidR="002A219A">
        <w:rPr>
          <w:bCs/>
          <w:sz w:val="24"/>
          <w:szCs w:val="24"/>
        </w:rPr>
        <w:t xml:space="preserve">the head of Urology Unit in KBTH reports </w:t>
      </w:r>
      <w:r>
        <w:rPr>
          <w:bCs/>
          <w:sz w:val="24"/>
          <w:szCs w:val="24"/>
        </w:rPr>
        <w:t xml:space="preserve">individual direct costs for radical prostatectomy or EBRT ranges from </w:t>
      </w:r>
      <w:r w:rsidR="001C6D38">
        <w:rPr>
          <w:bCs/>
          <w:sz w:val="24"/>
          <w:szCs w:val="24"/>
        </w:rPr>
        <w:t>GH¢</w:t>
      </w:r>
      <w:r>
        <w:rPr>
          <w:bCs/>
          <w:sz w:val="24"/>
          <w:szCs w:val="24"/>
        </w:rPr>
        <w:t xml:space="preserve">5000 – 6000 (US1250 – 1500), for Brachytherapy the cost is </w:t>
      </w:r>
      <w:r w:rsidR="001C6D38">
        <w:rPr>
          <w:bCs/>
          <w:sz w:val="24"/>
          <w:szCs w:val="24"/>
        </w:rPr>
        <w:t>GH¢</w:t>
      </w:r>
      <w:r>
        <w:rPr>
          <w:bCs/>
          <w:sz w:val="24"/>
          <w:szCs w:val="24"/>
        </w:rPr>
        <w:t xml:space="preserve">30,000 – </w:t>
      </w:r>
      <w:r w:rsidR="001C6D38">
        <w:rPr>
          <w:bCs/>
          <w:sz w:val="24"/>
          <w:szCs w:val="24"/>
        </w:rPr>
        <w:t>GH¢</w:t>
      </w:r>
      <w:r>
        <w:rPr>
          <w:bCs/>
          <w:sz w:val="24"/>
          <w:szCs w:val="24"/>
        </w:rPr>
        <w:t xml:space="preserve">32,000 i.e. 9000 Euros.  For hormonal therapy the cost is from </w:t>
      </w:r>
      <w:r w:rsidR="001C6D38">
        <w:rPr>
          <w:bCs/>
          <w:sz w:val="24"/>
          <w:szCs w:val="24"/>
        </w:rPr>
        <w:t>GH¢</w:t>
      </w:r>
      <w:r>
        <w:rPr>
          <w:bCs/>
          <w:sz w:val="24"/>
          <w:szCs w:val="24"/>
        </w:rPr>
        <w:t xml:space="preserve">6400 – 12400 (U$1600 – 3200) per year and for Orchidectomy the cost is </w:t>
      </w:r>
      <w:r w:rsidR="001C6D38">
        <w:rPr>
          <w:bCs/>
          <w:sz w:val="24"/>
          <w:szCs w:val="24"/>
        </w:rPr>
        <w:t>GH¢</w:t>
      </w:r>
      <w:r>
        <w:rPr>
          <w:bCs/>
          <w:sz w:val="24"/>
          <w:szCs w:val="24"/>
        </w:rPr>
        <w:t>2000 (U$500).</w:t>
      </w:r>
    </w:p>
    <w:p w:rsidR="004666DD" w:rsidRDefault="004666DD" w:rsidP="004666DD">
      <w:pPr>
        <w:spacing w:after="0" w:line="480" w:lineRule="auto"/>
        <w:rPr>
          <w:bCs/>
          <w:sz w:val="24"/>
          <w:szCs w:val="24"/>
        </w:rPr>
      </w:pPr>
    </w:p>
    <w:p w:rsidR="00620A8A" w:rsidRPr="00A940BA" w:rsidRDefault="00620A8A" w:rsidP="004666DD">
      <w:pPr>
        <w:spacing w:after="0" w:line="480" w:lineRule="auto"/>
        <w:rPr>
          <w:b/>
          <w:bCs/>
          <w:sz w:val="24"/>
          <w:szCs w:val="24"/>
        </w:rPr>
      </w:pPr>
      <w:r w:rsidRPr="00A940BA">
        <w:rPr>
          <w:b/>
          <w:bCs/>
          <w:sz w:val="24"/>
          <w:szCs w:val="24"/>
        </w:rPr>
        <w:t>CONCLUSIONS</w:t>
      </w:r>
      <w:r w:rsidR="00A940BA">
        <w:rPr>
          <w:b/>
          <w:bCs/>
          <w:sz w:val="24"/>
          <w:szCs w:val="24"/>
        </w:rPr>
        <w:t>:</w:t>
      </w:r>
    </w:p>
    <w:p w:rsidR="00620A8A" w:rsidRDefault="00620A8A" w:rsidP="004666DD">
      <w:pPr>
        <w:spacing w:after="0" w:line="480" w:lineRule="auto"/>
        <w:rPr>
          <w:bCs/>
          <w:sz w:val="24"/>
          <w:szCs w:val="24"/>
        </w:rPr>
      </w:pPr>
      <w:proofErr w:type="gramStart"/>
      <w:r w:rsidRPr="008C10F0">
        <w:rPr>
          <w:bCs/>
          <w:sz w:val="24"/>
          <w:szCs w:val="24"/>
          <w:u w:val="single"/>
        </w:rPr>
        <w:t>BENIGN</w:t>
      </w:r>
      <w:r>
        <w:rPr>
          <w:bCs/>
          <w:sz w:val="24"/>
          <w:szCs w:val="24"/>
          <w:u w:val="single"/>
        </w:rPr>
        <w:t xml:space="preserve"> PROSTATIC HYPERPLASIA</w:t>
      </w:r>
      <w:r w:rsidR="001C6D38">
        <w:rPr>
          <w:bCs/>
          <w:sz w:val="24"/>
          <w:szCs w:val="24"/>
          <w:u w:val="single"/>
        </w:rPr>
        <w:t xml:space="preserve"> </w:t>
      </w:r>
      <w:r w:rsidRPr="008C10F0">
        <w:rPr>
          <w:bCs/>
          <w:sz w:val="24"/>
          <w:szCs w:val="24"/>
          <w:u w:val="single"/>
        </w:rPr>
        <w:t>(BPH/BPE</w:t>
      </w:r>
      <w:r>
        <w:rPr>
          <w:bCs/>
          <w:sz w:val="24"/>
          <w:szCs w:val="24"/>
        </w:rPr>
        <w:t>).</w:t>
      </w:r>
      <w:proofErr w:type="gramEnd"/>
      <w:r>
        <w:rPr>
          <w:bCs/>
          <w:sz w:val="24"/>
          <w:szCs w:val="24"/>
        </w:rPr>
        <w:t xml:space="preserve">  </w:t>
      </w:r>
    </w:p>
    <w:p w:rsidR="00620A8A" w:rsidRPr="00D5266F" w:rsidRDefault="008F2A68" w:rsidP="004666DD">
      <w:pPr>
        <w:spacing w:line="480" w:lineRule="auto"/>
        <w:rPr>
          <w:bCs/>
          <w:sz w:val="24"/>
          <w:szCs w:val="24"/>
          <w:vertAlign w:val="superscript"/>
        </w:rPr>
      </w:pPr>
      <w:r>
        <w:rPr>
          <w:bCs/>
          <w:sz w:val="24"/>
          <w:szCs w:val="24"/>
        </w:rPr>
        <w:t>R</w:t>
      </w:r>
      <w:r w:rsidR="00620A8A">
        <w:rPr>
          <w:bCs/>
          <w:sz w:val="24"/>
          <w:szCs w:val="24"/>
        </w:rPr>
        <w:t>eports of studies among races in USA, UK and Asia or black communi</w:t>
      </w:r>
      <w:r w:rsidR="002A219A">
        <w:rPr>
          <w:bCs/>
          <w:sz w:val="24"/>
          <w:szCs w:val="24"/>
        </w:rPr>
        <w:t xml:space="preserve">ties in these countries and </w:t>
      </w:r>
      <w:r w:rsidR="00620A8A">
        <w:rPr>
          <w:bCs/>
          <w:sz w:val="24"/>
          <w:szCs w:val="24"/>
        </w:rPr>
        <w:t xml:space="preserve">Ghana </w:t>
      </w:r>
      <w:r w:rsidR="002A219A">
        <w:rPr>
          <w:bCs/>
          <w:sz w:val="24"/>
          <w:szCs w:val="24"/>
        </w:rPr>
        <w:t xml:space="preserve">Figs 1, 2, 3, Table 4 </w:t>
      </w:r>
      <w:r w:rsidR="002A219A">
        <w:rPr>
          <w:bCs/>
          <w:sz w:val="24"/>
          <w:szCs w:val="24"/>
          <w:vertAlign w:val="superscript"/>
        </w:rPr>
        <w:t xml:space="preserve">18, 36 – 40 </w:t>
      </w:r>
      <w:r w:rsidR="00620A8A">
        <w:rPr>
          <w:bCs/>
          <w:sz w:val="24"/>
          <w:szCs w:val="24"/>
        </w:rPr>
        <w:t>and other reports from Africa confirm the high prevalence of BPH/BPE in Africans and men of African descent, Caucasians and other races</w:t>
      </w:r>
      <w:r w:rsidR="00E00B5A">
        <w:rPr>
          <w:bCs/>
          <w:sz w:val="24"/>
          <w:szCs w:val="24"/>
        </w:rPr>
        <w:t>.</w:t>
      </w:r>
      <w:r w:rsidR="001C6D38">
        <w:rPr>
          <w:bCs/>
          <w:sz w:val="24"/>
          <w:szCs w:val="24"/>
          <w:vertAlign w:val="superscript"/>
        </w:rPr>
        <w:t xml:space="preserve">1, 2, 3, 4, 8, </w:t>
      </w:r>
      <w:r w:rsidR="00E00B5A" w:rsidRPr="00D5266F">
        <w:rPr>
          <w:bCs/>
          <w:sz w:val="24"/>
          <w:szCs w:val="24"/>
          <w:vertAlign w:val="superscript"/>
        </w:rPr>
        <w:t>10, 11,</w:t>
      </w:r>
      <w:r w:rsidR="001C6D38">
        <w:rPr>
          <w:bCs/>
          <w:sz w:val="24"/>
          <w:szCs w:val="24"/>
          <w:vertAlign w:val="superscript"/>
        </w:rPr>
        <w:t xml:space="preserve"> </w:t>
      </w:r>
      <w:r w:rsidR="00E00B5A">
        <w:rPr>
          <w:bCs/>
          <w:sz w:val="24"/>
          <w:szCs w:val="24"/>
          <w:vertAlign w:val="superscript"/>
        </w:rPr>
        <w:t>15,</w:t>
      </w:r>
      <w:r w:rsidR="00E00B5A" w:rsidRPr="00D5266F">
        <w:rPr>
          <w:bCs/>
          <w:sz w:val="24"/>
          <w:szCs w:val="24"/>
          <w:vertAlign w:val="superscript"/>
        </w:rPr>
        <w:t xml:space="preserve"> 16</w:t>
      </w:r>
      <w:r w:rsidR="00E00B5A">
        <w:rPr>
          <w:bCs/>
          <w:sz w:val="24"/>
          <w:szCs w:val="24"/>
          <w:vertAlign w:val="superscript"/>
        </w:rPr>
        <w:t>, 17, 18</w:t>
      </w:r>
      <w:r w:rsidR="002A219A">
        <w:rPr>
          <w:bCs/>
          <w:sz w:val="24"/>
          <w:szCs w:val="24"/>
          <w:vertAlign w:val="superscript"/>
        </w:rPr>
        <w:t>, 19, 20, 36 - 40</w:t>
      </w:r>
      <w:r w:rsidR="00E00B5A">
        <w:rPr>
          <w:bCs/>
          <w:sz w:val="24"/>
          <w:szCs w:val="24"/>
        </w:rPr>
        <w:t>.  The reports though sparse indicate high prevalence of BPH</w:t>
      </w:r>
      <w:r w:rsidR="001C6D38">
        <w:rPr>
          <w:bCs/>
          <w:sz w:val="24"/>
          <w:szCs w:val="24"/>
        </w:rPr>
        <w:t xml:space="preserve"> in Africans, the prevalence in the </w:t>
      </w:r>
      <w:r w:rsidR="00E00B5A">
        <w:rPr>
          <w:bCs/>
          <w:sz w:val="24"/>
          <w:szCs w:val="24"/>
        </w:rPr>
        <w:t xml:space="preserve">living and dead has to be investigated in </w:t>
      </w:r>
      <w:r w:rsidR="001C6D38">
        <w:rPr>
          <w:bCs/>
          <w:sz w:val="24"/>
          <w:szCs w:val="24"/>
        </w:rPr>
        <w:t>other parts of Africa.</w:t>
      </w:r>
    </w:p>
    <w:p w:rsidR="004666DD" w:rsidRDefault="004666DD" w:rsidP="004666DD">
      <w:pPr>
        <w:spacing w:after="0" w:line="480" w:lineRule="auto"/>
        <w:rPr>
          <w:bCs/>
          <w:sz w:val="24"/>
          <w:szCs w:val="24"/>
          <w:u w:val="single"/>
        </w:rPr>
      </w:pPr>
    </w:p>
    <w:p w:rsidR="00620A8A" w:rsidRPr="00D5266F" w:rsidRDefault="00620A8A" w:rsidP="004666DD">
      <w:pPr>
        <w:spacing w:after="0" w:line="480" w:lineRule="auto"/>
        <w:rPr>
          <w:bCs/>
          <w:sz w:val="24"/>
          <w:szCs w:val="24"/>
          <w:u w:val="single"/>
        </w:rPr>
      </w:pPr>
      <w:r w:rsidRPr="00D5266F">
        <w:rPr>
          <w:bCs/>
          <w:sz w:val="24"/>
          <w:szCs w:val="24"/>
          <w:u w:val="single"/>
        </w:rPr>
        <w:t xml:space="preserve">BENIGN </w:t>
      </w:r>
      <w:r w:rsidR="00E00B5A">
        <w:rPr>
          <w:bCs/>
          <w:sz w:val="24"/>
          <w:szCs w:val="24"/>
          <w:u w:val="single"/>
        </w:rPr>
        <w:t>PROSTATIC HYPERPLASIA CO-</w:t>
      </w:r>
      <w:proofErr w:type="gramStart"/>
      <w:r w:rsidR="00E00B5A">
        <w:rPr>
          <w:bCs/>
          <w:sz w:val="24"/>
          <w:szCs w:val="24"/>
          <w:u w:val="single"/>
        </w:rPr>
        <w:t xml:space="preserve">EXISTING </w:t>
      </w:r>
      <w:r w:rsidRPr="00D5266F">
        <w:rPr>
          <w:bCs/>
          <w:sz w:val="24"/>
          <w:szCs w:val="24"/>
          <w:u w:val="single"/>
        </w:rPr>
        <w:t xml:space="preserve"> WITH</w:t>
      </w:r>
      <w:proofErr w:type="gramEnd"/>
      <w:r w:rsidRPr="00D5266F">
        <w:rPr>
          <w:bCs/>
          <w:sz w:val="24"/>
          <w:szCs w:val="24"/>
          <w:u w:val="single"/>
        </w:rPr>
        <w:t xml:space="preserve"> CARCINOMA OF PROSTATE</w:t>
      </w:r>
    </w:p>
    <w:p w:rsidR="00620A8A" w:rsidRDefault="00620A8A" w:rsidP="004666DD">
      <w:pPr>
        <w:spacing w:line="480" w:lineRule="auto"/>
        <w:rPr>
          <w:bCs/>
          <w:sz w:val="24"/>
          <w:szCs w:val="24"/>
        </w:rPr>
      </w:pPr>
      <w:r>
        <w:rPr>
          <w:bCs/>
          <w:sz w:val="24"/>
          <w:szCs w:val="24"/>
        </w:rPr>
        <w:t xml:space="preserve">Reports </w:t>
      </w:r>
      <w:r w:rsidR="00E00B5A">
        <w:rPr>
          <w:bCs/>
          <w:sz w:val="24"/>
          <w:szCs w:val="24"/>
          <w:vertAlign w:val="superscript"/>
        </w:rPr>
        <w:t>1, 2, 3, 4, 6</w:t>
      </w:r>
      <w:r>
        <w:rPr>
          <w:bCs/>
          <w:sz w:val="24"/>
          <w:szCs w:val="24"/>
          <w:vertAlign w:val="superscript"/>
        </w:rPr>
        <w:t xml:space="preserve">, </w:t>
      </w:r>
      <w:r w:rsidRPr="0024671D">
        <w:rPr>
          <w:bCs/>
          <w:sz w:val="24"/>
          <w:szCs w:val="24"/>
          <w:vertAlign w:val="superscript"/>
        </w:rPr>
        <w:t>7,</w:t>
      </w:r>
      <w:r>
        <w:rPr>
          <w:bCs/>
          <w:sz w:val="24"/>
          <w:szCs w:val="24"/>
          <w:vertAlign w:val="superscript"/>
        </w:rPr>
        <w:t xml:space="preserve"> 8,</w:t>
      </w:r>
      <w:r w:rsidR="00E00B5A">
        <w:rPr>
          <w:bCs/>
          <w:sz w:val="24"/>
          <w:szCs w:val="24"/>
          <w:vertAlign w:val="superscript"/>
        </w:rPr>
        <w:t xml:space="preserve"> 30</w:t>
      </w:r>
      <w:r>
        <w:rPr>
          <w:bCs/>
          <w:sz w:val="24"/>
          <w:szCs w:val="24"/>
        </w:rPr>
        <w:t xml:space="preserve"> have indicated that there is relatively moderate incidence of PC among subjects being treated for BPH.  The prevalence of PC among TURP chippings for treatmen</w:t>
      </w:r>
      <w:r w:rsidR="001C6D38">
        <w:rPr>
          <w:bCs/>
          <w:sz w:val="24"/>
          <w:szCs w:val="24"/>
        </w:rPr>
        <w:t>t of BPH has been reported as 3</w:t>
      </w:r>
      <w:r>
        <w:rPr>
          <w:bCs/>
          <w:sz w:val="24"/>
          <w:szCs w:val="24"/>
        </w:rPr>
        <w:t xml:space="preserve"> – 20%.  Other reports indicate that the </w:t>
      </w:r>
      <w:r w:rsidR="002715FC">
        <w:rPr>
          <w:bCs/>
          <w:sz w:val="24"/>
          <w:szCs w:val="24"/>
        </w:rPr>
        <w:t>incidence of PC in patients being managed as BPH has</w:t>
      </w:r>
      <w:r w:rsidR="001C6D38">
        <w:rPr>
          <w:bCs/>
          <w:sz w:val="24"/>
          <w:szCs w:val="24"/>
        </w:rPr>
        <w:t xml:space="preserve"> been recorded</w:t>
      </w:r>
      <w:r>
        <w:rPr>
          <w:bCs/>
          <w:sz w:val="24"/>
          <w:szCs w:val="24"/>
        </w:rPr>
        <w:t>.</w:t>
      </w:r>
    </w:p>
    <w:p w:rsidR="00620A8A" w:rsidRPr="00041C56" w:rsidRDefault="00620A8A" w:rsidP="004666DD">
      <w:pPr>
        <w:spacing w:after="0" w:line="480" w:lineRule="auto"/>
        <w:rPr>
          <w:bCs/>
          <w:sz w:val="24"/>
          <w:szCs w:val="24"/>
          <w:u w:val="single"/>
        </w:rPr>
      </w:pPr>
      <w:r w:rsidRPr="00041C56">
        <w:rPr>
          <w:bCs/>
          <w:sz w:val="24"/>
          <w:szCs w:val="24"/>
          <w:u w:val="single"/>
        </w:rPr>
        <w:lastRenderedPageBreak/>
        <w:t>PROSTATE CANCER</w:t>
      </w:r>
    </w:p>
    <w:p w:rsidR="00620A8A" w:rsidRDefault="00620A8A" w:rsidP="004666DD">
      <w:pPr>
        <w:spacing w:line="480" w:lineRule="auto"/>
        <w:rPr>
          <w:bCs/>
          <w:sz w:val="24"/>
          <w:szCs w:val="24"/>
          <w:vertAlign w:val="superscript"/>
        </w:rPr>
      </w:pPr>
      <w:r>
        <w:rPr>
          <w:bCs/>
          <w:sz w:val="24"/>
          <w:szCs w:val="24"/>
        </w:rPr>
        <w:t>Africans, African Americ</w:t>
      </w:r>
      <w:r w:rsidR="00E00B5A">
        <w:rPr>
          <w:bCs/>
          <w:sz w:val="24"/>
          <w:szCs w:val="24"/>
        </w:rPr>
        <w:t>ans and Africans in the UK and d</w:t>
      </w:r>
      <w:r>
        <w:rPr>
          <w:bCs/>
          <w:sz w:val="24"/>
          <w:szCs w:val="24"/>
        </w:rPr>
        <w:t xml:space="preserve">iaspora and those born in the Caribbean and their descendants have high prevalence of PC as well as having more aggressive, G&gt;7 and higher PSA values </w:t>
      </w:r>
      <w:r w:rsidR="008F2A68">
        <w:rPr>
          <w:bCs/>
          <w:sz w:val="24"/>
          <w:szCs w:val="24"/>
        </w:rPr>
        <w:t xml:space="preserve">&gt;52ng/ml </w:t>
      </w:r>
      <w:r>
        <w:rPr>
          <w:bCs/>
          <w:sz w:val="24"/>
          <w:szCs w:val="24"/>
        </w:rPr>
        <w:t xml:space="preserve">and more </w:t>
      </w:r>
      <w:r w:rsidR="00E00B5A">
        <w:rPr>
          <w:bCs/>
          <w:sz w:val="24"/>
          <w:szCs w:val="24"/>
        </w:rPr>
        <w:t xml:space="preserve">locally </w:t>
      </w:r>
      <w:r>
        <w:rPr>
          <w:bCs/>
          <w:sz w:val="24"/>
          <w:szCs w:val="24"/>
        </w:rPr>
        <w:t xml:space="preserve">advanced </w:t>
      </w:r>
      <w:r w:rsidR="009B38F9">
        <w:rPr>
          <w:bCs/>
          <w:sz w:val="24"/>
          <w:szCs w:val="24"/>
        </w:rPr>
        <w:t xml:space="preserve"> (</w:t>
      </w:r>
      <w:r>
        <w:rPr>
          <w:bCs/>
          <w:sz w:val="24"/>
          <w:szCs w:val="24"/>
        </w:rPr>
        <w:t>T3 T4</w:t>
      </w:r>
      <w:r w:rsidR="009B38F9">
        <w:rPr>
          <w:bCs/>
          <w:sz w:val="24"/>
          <w:szCs w:val="24"/>
        </w:rPr>
        <w:t>)</w:t>
      </w:r>
      <w:r>
        <w:rPr>
          <w:bCs/>
          <w:sz w:val="24"/>
          <w:szCs w:val="24"/>
        </w:rPr>
        <w:t xml:space="preserve"> </w:t>
      </w:r>
      <w:r w:rsidR="00E00B5A">
        <w:rPr>
          <w:bCs/>
          <w:sz w:val="24"/>
          <w:szCs w:val="24"/>
        </w:rPr>
        <w:t xml:space="preserve">and </w:t>
      </w:r>
      <w:r>
        <w:rPr>
          <w:bCs/>
          <w:sz w:val="24"/>
          <w:szCs w:val="24"/>
        </w:rPr>
        <w:t>metastatic disease as well as having higher mortality rat</w:t>
      </w:r>
      <w:r w:rsidR="00A427AD">
        <w:rPr>
          <w:bCs/>
          <w:sz w:val="24"/>
          <w:szCs w:val="24"/>
        </w:rPr>
        <w:t>es than Caucasians and Asiatics Fig 5 and Table 5.</w:t>
      </w:r>
      <w:r w:rsidR="00A427AD">
        <w:rPr>
          <w:bCs/>
          <w:sz w:val="24"/>
          <w:szCs w:val="24"/>
          <w:vertAlign w:val="superscript"/>
        </w:rPr>
        <w:t xml:space="preserve">20, 28, 43 – 51 </w:t>
      </w:r>
      <w:r>
        <w:rPr>
          <w:bCs/>
          <w:sz w:val="24"/>
          <w:szCs w:val="24"/>
        </w:rPr>
        <w:t xml:space="preserve">  The wide use of PSA testing, PSA screening in USA, Europe and other advanced countries have led to higher detection of early PC and stage down migration of PC at presentation and higher rates of curative treatment such as radical prostatectom</w:t>
      </w:r>
      <w:r w:rsidR="002715FC">
        <w:rPr>
          <w:bCs/>
          <w:sz w:val="24"/>
          <w:szCs w:val="24"/>
        </w:rPr>
        <w:t xml:space="preserve">y </w:t>
      </w:r>
      <w:r>
        <w:rPr>
          <w:bCs/>
          <w:sz w:val="24"/>
          <w:szCs w:val="24"/>
        </w:rPr>
        <w:t>and radia</w:t>
      </w:r>
      <w:r w:rsidR="002715FC">
        <w:rPr>
          <w:bCs/>
          <w:sz w:val="24"/>
          <w:szCs w:val="24"/>
        </w:rPr>
        <w:t>tion therapy</w:t>
      </w:r>
      <w:r>
        <w:rPr>
          <w:bCs/>
          <w:sz w:val="24"/>
          <w:szCs w:val="24"/>
        </w:rPr>
        <w:t>.  The</w:t>
      </w:r>
      <w:r w:rsidR="002715FC">
        <w:rPr>
          <w:bCs/>
          <w:sz w:val="24"/>
          <w:szCs w:val="24"/>
        </w:rPr>
        <w:t>se</w:t>
      </w:r>
      <w:r w:rsidR="00593D11">
        <w:rPr>
          <w:bCs/>
          <w:sz w:val="24"/>
          <w:szCs w:val="24"/>
        </w:rPr>
        <w:t xml:space="preserve"> have</w:t>
      </w:r>
      <w:r w:rsidR="00A427AD">
        <w:rPr>
          <w:bCs/>
          <w:sz w:val="24"/>
          <w:szCs w:val="24"/>
        </w:rPr>
        <w:t xml:space="preserve"> reduced the mortality</w:t>
      </w:r>
      <w:r>
        <w:rPr>
          <w:bCs/>
          <w:sz w:val="24"/>
          <w:szCs w:val="24"/>
        </w:rPr>
        <w:t xml:space="preserve"> of PC in USA men.  The </w:t>
      </w:r>
      <w:r w:rsidR="008F2A68">
        <w:rPr>
          <w:bCs/>
          <w:sz w:val="24"/>
          <w:szCs w:val="24"/>
        </w:rPr>
        <w:t xml:space="preserve">reports of </w:t>
      </w:r>
      <w:r>
        <w:rPr>
          <w:bCs/>
          <w:sz w:val="24"/>
          <w:szCs w:val="24"/>
        </w:rPr>
        <w:t xml:space="preserve">low prevalence in Africa is attributable to absence of cancer registries and less use of PSA testing and PSA screening in African countries.  Where ever there </w:t>
      </w:r>
      <w:r w:rsidR="00E00B5A">
        <w:rPr>
          <w:bCs/>
          <w:sz w:val="24"/>
          <w:szCs w:val="24"/>
        </w:rPr>
        <w:t>has been</w:t>
      </w:r>
      <w:r>
        <w:rPr>
          <w:bCs/>
          <w:sz w:val="24"/>
          <w:szCs w:val="24"/>
        </w:rPr>
        <w:t xml:space="preserve"> PSA screening and testing and established cancer registries in Africa or Caribbean</w:t>
      </w:r>
      <w:r w:rsidR="00E00B5A">
        <w:rPr>
          <w:bCs/>
          <w:sz w:val="24"/>
          <w:szCs w:val="24"/>
        </w:rPr>
        <w:t xml:space="preserve"> </w:t>
      </w:r>
      <w:r w:rsidR="00593D11">
        <w:rPr>
          <w:bCs/>
          <w:sz w:val="24"/>
          <w:szCs w:val="24"/>
        </w:rPr>
        <w:t xml:space="preserve">or autopsy population based studies </w:t>
      </w:r>
      <w:r w:rsidR="00E00B5A">
        <w:rPr>
          <w:bCs/>
          <w:sz w:val="24"/>
          <w:szCs w:val="24"/>
        </w:rPr>
        <w:t>such as Trinida</w:t>
      </w:r>
      <w:r w:rsidR="00593D11">
        <w:rPr>
          <w:bCs/>
          <w:sz w:val="24"/>
          <w:szCs w:val="24"/>
        </w:rPr>
        <w:t>d</w:t>
      </w:r>
      <w:r w:rsidR="00E00B5A">
        <w:rPr>
          <w:bCs/>
          <w:sz w:val="24"/>
          <w:szCs w:val="24"/>
        </w:rPr>
        <w:t xml:space="preserve"> and Tobago and Ghana, </w:t>
      </w:r>
      <w:r>
        <w:rPr>
          <w:bCs/>
          <w:sz w:val="24"/>
          <w:szCs w:val="24"/>
        </w:rPr>
        <w:t xml:space="preserve">have reported higher prevalence or incidence of PC in Africans in Africa </w:t>
      </w:r>
      <w:r w:rsidR="00A427AD">
        <w:rPr>
          <w:bCs/>
          <w:sz w:val="24"/>
          <w:szCs w:val="24"/>
        </w:rPr>
        <w:t>Fig</w:t>
      </w:r>
      <w:r w:rsidR="00A15B40">
        <w:rPr>
          <w:bCs/>
          <w:sz w:val="24"/>
          <w:szCs w:val="24"/>
        </w:rPr>
        <w:t>s</w:t>
      </w:r>
      <w:r w:rsidR="00A427AD">
        <w:rPr>
          <w:bCs/>
          <w:sz w:val="24"/>
          <w:szCs w:val="24"/>
        </w:rPr>
        <w:t xml:space="preserve"> 4,</w:t>
      </w:r>
      <w:r w:rsidR="00A15B40">
        <w:rPr>
          <w:bCs/>
          <w:sz w:val="24"/>
          <w:szCs w:val="24"/>
        </w:rPr>
        <w:t xml:space="preserve"> 5</w:t>
      </w:r>
      <w:r w:rsidR="00A427AD">
        <w:rPr>
          <w:bCs/>
          <w:sz w:val="24"/>
          <w:szCs w:val="24"/>
        </w:rPr>
        <w:t xml:space="preserve"> Table 5 </w:t>
      </w:r>
      <w:r>
        <w:rPr>
          <w:bCs/>
          <w:sz w:val="24"/>
          <w:szCs w:val="24"/>
        </w:rPr>
        <w:t>and the diaspora</w:t>
      </w:r>
      <w:r w:rsidR="00EE0706">
        <w:rPr>
          <w:bCs/>
          <w:sz w:val="24"/>
          <w:szCs w:val="24"/>
        </w:rPr>
        <w:t xml:space="preserve">.  Future studies </w:t>
      </w:r>
      <w:r w:rsidR="00593D11">
        <w:rPr>
          <w:bCs/>
          <w:sz w:val="24"/>
          <w:szCs w:val="24"/>
        </w:rPr>
        <w:t xml:space="preserve">are </w:t>
      </w:r>
      <w:r w:rsidR="00EE0706">
        <w:rPr>
          <w:bCs/>
          <w:sz w:val="24"/>
          <w:szCs w:val="24"/>
        </w:rPr>
        <w:t>recommend</w:t>
      </w:r>
      <w:r w:rsidR="00593D11">
        <w:rPr>
          <w:bCs/>
          <w:sz w:val="24"/>
          <w:szCs w:val="24"/>
        </w:rPr>
        <w:t>ed</w:t>
      </w:r>
      <w:r w:rsidR="00EE0706">
        <w:rPr>
          <w:bCs/>
          <w:sz w:val="24"/>
          <w:szCs w:val="24"/>
        </w:rPr>
        <w:t xml:space="preserve"> in Africans to have true prevalence of PC in Africans even though</w:t>
      </w:r>
      <w:r w:rsidR="00A427AD">
        <w:rPr>
          <w:bCs/>
          <w:sz w:val="24"/>
          <w:szCs w:val="24"/>
        </w:rPr>
        <w:t xml:space="preserve"> screening for PC </w:t>
      </w:r>
      <w:r w:rsidR="00EE0706">
        <w:rPr>
          <w:bCs/>
          <w:sz w:val="24"/>
          <w:szCs w:val="24"/>
        </w:rPr>
        <w:t>remains controversial</w:t>
      </w:r>
      <w:r w:rsidR="00EE0706">
        <w:rPr>
          <w:bCs/>
          <w:sz w:val="24"/>
          <w:szCs w:val="24"/>
          <w:vertAlign w:val="superscript"/>
        </w:rPr>
        <w:t xml:space="preserve">19, 20, 28, </w:t>
      </w:r>
      <w:r w:rsidR="00593D11">
        <w:rPr>
          <w:bCs/>
          <w:sz w:val="24"/>
          <w:szCs w:val="24"/>
          <w:vertAlign w:val="superscript"/>
        </w:rPr>
        <w:t xml:space="preserve">29, </w:t>
      </w:r>
      <w:r w:rsidR="00EE0706">
        <w:rPr>
          <w:bCs/>
          <w:sz w:val="24"/>
          <w:szCs w:val="24"/>
          <w:vertAlign w:val="superscript"/>
        </w:rPr>
        <w:t>31,</w:t>
      </w:r>
      <w:r w:rsidR="00593D11">
        <w:rPr>
          <w:bCs/>
          <w:sz w:val="24"/>
          <w:szCs w:val="24"/>
          <w:vertAlign w:val="superscript"/>
        </w:rPr>
        <w:t xml:space="preserve"> 32</w:t>
      </w:r>
      <w:proofErr w:type="gramStart"/>
      <w:r w:rsidR="00593D11">
        <w:rPr>
          <w:bCs/>
          <w:sz w:val="24"/>
          <w:szCs w:val="24"/>
          <w:vertAlign w:val="superscript"/>
        </w:rPr>
        <w:t xml:space="preserve">, </w:t>
      </w:r>
      <w:r w:rsidRPr="00B72B4D">
        <w:rPr>
          <w:bCs/>
          <w:sz w:val="24"/>
          <w:szCs w:val="24"/>
          <w:vertAlign w:val="superscript"/>
        </w:rPr>
        <w:t xml:space="preserve"> 33</w:t>
      </w:r>
      <w:proofErr w:type="gramEnd"/>
      <w:r w:rsidRPr="00B72B4D">
        <w:rPr>
          <w:bCs/>
          <w:sz w:val="24"/>
          <w:szCs w:val="24"/>
          <w:vertAlign w:val="superscript"/>
        </w:rPr>
        <w:t>, 34,</w:t>
      </w:r>
      <w:r w:rsidR="00EE0706">
        <w:rPr>
          <w:bCs/>
          <w:sz w:val="24"/>
          <w:szCs w:val="24"/>
          <w:vertAlign w:val="superscript"/>
        </w:rPr>
        <w:t xml:space="preserve"> 35, </w:t>
      </w:r>
      <w:r w:rsidRPr="00B72B4D">
        <w:rPr>
          <w:bCs/>
          <w:sz w:val="24"/>
          <w:szCs w:val="24"/>
          <w:vertAlign w:val="superscript"/>
        </w:rPr>
        <w:t>43</w:t>
      </w:r>
      <w:r w:rsidR="00593D11">
        <w:rPr>
          <w:bCs/>
          <w:sz w:val="24"/>
          <w:szCs w:val="24"/>
          <w:vertAlign w:val="superscript"/>
        </w:rPr>
        <w:t xml:space="preserve"> – </w:t>
      </w:r>
      <w:r w:rsidR="00EE0706">
        <w:rPr>
          <w:bCs/>
          <w:sz w:val="24"/>
          <w:szCs w:val="24"/>
          <w:vertAlign w:val="superscript"/>
        </w:rPr>
        <w:t>51</w:t>
      </w:r>
      <w:r w:rsidR="00593D11">
        <w:rPr>
          <w:bCs/>
          <w:sz w:val="24"/>
          <w:szCs w:val="24"/>
          <w:vertAlign w:val="superscript"/>
        </w:rPr>
        <w:t xml:space="preserve"> </w:t>
      </w:r>
      <w:r>
        <w:rPr>
          <w:bCs/>
          <w:sz w:val="24"/>
          <w:szCs w:val="24"/>
          <w:vertAlign w:val="superscript"/>
        </w:rPr>
        <w:t xml:space="preserve">  </w:t>
      </w:r>
    </w:p>
    <w:p w:rsidR="00620A8A" w:rsidRPr="00B72B4D" w:rsidRDefault="00620A8A" w:rsidP="004666DD">
      <w:pPr>
        <w:spacing w:after="0" w:line="480" w:lineRule="auto"/>
        <w:rPr>
          <w:bCs/>
          <w:sz w:val="24"/>
          <w:szCs w:val="24"/>
          <w:u w:val="single"/>
        </w:rPr>
      </w:pPr>
      <w:r w:rsidRPr="00B72B4D">
        <w:rPr>
          <w:bCs/>
          <w:sz w:val="24"/>
          <w:szCs w:val="24"/>
          <w:u w:val="single"/>
        </w:rPr>
        <w:t>ECONOMIC COSTS OF BPH AND PC</w:t>
      </w:r>
    </w:p>
    <w:p w:rsidR="00620A8A" w:rsidRDefault="00620A8A" w:rsidP="004666DD">
      <w:pPr>
        <w:spacing w:line="480" w:lineRule="auto"/>
        <w:rPr>
          <w:bCs/>
          <w:sz w:val="24"/>
          <w:szCs w:val="24"/>
        </w:rPr>
      </w:pPr>
      <w:r>
        <w:rPr>
          <w:bCs/>
          <w:sz w:val="24"/>
          <w:szCs w:val="24"/>
        </w:rPr>
        <w:t xml:space="preserve">In addition to the public health aspects of BPH and PC, both of them have high economic cost estimates, regarding direct costs, clinic attendance, </w:t>
      </w:r>
      <w:proofErr w:type="gramStart"/>
      <w:r>
        <w:rPr>
          <w:bCs/>
          <w:sz w:val="24"/>
          <w:szCs w:val="24"/>
        </w:rPr>
        <w:t>cost</w:t>
      </w:r>
      <w:proofErr w:type="gramEnd"/>
      <w:r>
        <w:rPr>
          <w:bCs/>
          <w:sz w:val="24"/>
          <w:szCs w:val="24"/>
        </w:rPr>
        <w:t xml:space="preserve"> of treatment </w:t>
      </w:r>
      <w:r w:rsidR="009B38F9">
        <w:rPr>
          <w:bCs/>
          <w:sz w:val="24"/>
          <w:szCs w:val="24"/>
        </w:rPr>
        <w:t xml:space="preserve">by </w:t>
      </w:r>
      <w:r w:rsidR="00593D11">
        <w:rPr>
          <w:bCs/>
          <w:sz w:val="24"/>
          <w:szCs w:val="24"/>
        </w:rPr>
        <w:t>medications and</w:t>
      </w:r>
      <w:r>
        <w:rPr>
          <w:bCs/>
          <w:sz w:val="24"/>
          <w:szCs w:val="24"/>
        </w:rPr>
        <w:t xml:space="preserve"> surgical procedures and morbidity as reported from USA and Europe</w:t>
      </w:r>
      <w:r w:rsidR="00EE0706">
        <w:rPr>
          <w:bCs/>
          <w:sz w:val="24"/>
          <w:szCs w:val="24"/>
        </w:rPr>
        <w:t xml:space="preserve">. </w:t>
      </w:r>
      <w:r>
        <w:rPr>
          <w:bCs/>
          <w:sz w:val="24"/>
          <w:szCs w:val="24"/>
        </w:rPr>
        <w:t>Unfortunately, there are no comparable figures from Africa.</w:t>
      </w:r>
      <w:r w:rsidR="00EE0706">
        <w:rPr>
          <w:bCs/>
          <w:sz w:val="24"/>
          <w:szCs w:val="24"/>
        </w:rPr>
        <w:t xml:space="preserve"> </w:t>
      </w:r>
      <w:r>
        <w:rPr>
          <w:bCs/>
          <w:sz w:val="24"/>
          <w:szCs w:val="24"/>
        </w:rPr>
        <w:t xml:space="preserve"> </w:t>
      </w:r>
      <w:r w:rsidR="00EE0706">
        <w:rPr>
          <w:bCs/>
          <w:sz w:val="24"/>
          <w:szCs w:val="24"/>
        </w:rPr>
        <w:t xml:space="preserve">Knowing the true prevalence of BPH and PC in Africa and </w:t>
      </w:r>
      <w:r w:rsidR="00EE0706">
        <w:rPr>
          <w:bCs/>
          <w:sz w:val="24"/>
          <w:szCs w:val="24"/>
        </w:rPr>
        <w:lastRenderedPageBreak/>
        <w:t xml:space="preserve">their economic costs will help in the planning of health budgets </w:t>
      </w:r>
      <w:r w:rsidR="00593D11">
        <w:rPr>
          <w:bCs/>
          <w:sz w:val="24"/>
          <w:szCs w:val="24"/>
        </w:rPr>
        <w:t xml:space="preserve">and health insurance </w:t>
      </w:r>
      <w:r w:rsidR="00EE0706">
        <w:rPr>
          <w:bCs/>
          <w:sz w:val="24"/>
          <w:szCs w:val="24"/>
        </w:rPr>
        <w:t>in African countries</w:t>
      </w:r>
      <w:r w:rsidR="00EE0706">
        <w:rPr>
          <w:bCs/>
          <w:sz w:val="24"/>
          <w:szCs w:val="24"/>
          <w:vertAlign w:val="superscript"/>
        </w:rPr>
        <w:t xml:space="preserve">41, 42, 52, 53, </w:t>
      </w:r>
      <w:proofErr w:type="gramStart"/>
      <w:r w:rsidR="00EE0706">
        <w:rPr>
          <w:bCs/>
          <w:sz w:val="24"/>
          <w:szCs w:val="24"/>
          <w:vertAlign w:val="superscript"/>
        </w:rPr>
        <w:t>54</w:t>
      </w:r>
      <w:proofErr w:type="gramEnd"/>
    </w:p>
    <w:p w:rsidR="00620A8A" w:rsidRPr="00F877CD" w:rsidRDefault="00620A8A" w:rsidP="004666DD">
      <w:pPr>
        <w:spacing w:line="480" w:lineRule="auto"/>
        <w:rPr>
          <w:bCs/>
          <w:sz w:val="24"/>
          <w:szCs w:val="24"/>
          <w:u w:val="single"/>
        </w:rPr>
      </w:pPr>
      <w:r w:rsidRPr="00F877CD">
        <w:rPr>
          <w:bCs/>
          <w:sz w:val="24"/>
          <w:szCs w:val="24"/>
          <w:u w:val="single"/>
        </w:rPr>
        <w:t>ACKNOWLEDGEMENTS</w:t>
      </w:r>
    </w:p>
    <w:p w:rsidR="00620A8A" w:rsidRDefault="009B38F9" w:rsidP="004666DD">
      <w:pPr>
        <w:spacing w:after="0" w:line="480" w:lineRule="auto"/>
        <w:rPr>
          <w:bCs/>
          <w:sz w:val="24"/>
          <w:szCs w:val="24"/>
        </w:rPr>
      </w:pPr>
      <w:r>
        <w:rPr>
          <w:bCs/>
          <w:sz w:val="24"/>
          <w:szCs w:val="24"/>
        </w:rPr>
        <w:t>My</w:t>
      </w:r>
      <w:r w:rsidR="00620A8A">
        <w:rPr>
          <w:bCs/>
          <w:sz w:val="24"/>
          <w:szCs w:val="24"/>
        </w:rPr>
        <w:t xml:space="preserve"> thanks go to our colleagues who have helped us with the o</w:t>
      </w:r>
      <w:r w:rsidR="00A427AD">
        <w:rPr>
          <w:bCs/>
          <w:sz w:val="24"/>
          <w:szCs w:val="24"/>
        </w:rPr>
        <w:t>riginal studies.  They are Professor</w:t>
      </w:r>
      <w:r w:rsidR="00620A8A">
        <w:rPr>
          <w:bCs/>
          <w:sz w:val="24"/>
          <w:szCs w:val="24"/>
        </w:rPr>
        <w:t xml:space="preserve"> </w:t>
      </w:r>
      <w:r w:rsidR="00593D11">
        <w:rPr>
          <w:bCs/>
          <w:sz w:val="24"/>
          <w:szCs w:val="24"/>
        </w:rPr>
        <w:t>Ann Hsing</w:t>
      </w:r>
      <w:r w:rsidR="00A427AD">
        <w:rPr>
          <w:bCs/>
          <w:sz w:val="24"/>
          <w:szCs w:val="24"/>
        </w:rPr>
        <w:t xml:space="preserve"> (Stanford University)</w:t>
      </w:r>
      <w:r w:rsidR="00593D11">
        <w:rPr>
          <w:bCs/>
          <w:sz w:val="24"/>
          <w:szCs w:val="24"/>
        </w:rPr>
        <w:t>,</w:t>
      </w:r>
      <w:r w:rsidR="00A427AD">
        <w:rPr>
          <w:bCs/>
          <w:sz w:val="24"/>
          <w:szCs w:val="24"/>
        </w:rPr>
        <w:t xml:space="preserve"> Professors</w:t>
      </w:r>
      <w:r w:rsidR="00593D11">
        <w:rPr>
          <w:bCs/>
          <w:sz w:val="24"/>
          <w:szCs w:val="24"/>
        </w:rPr>
        <w:t xml:space="preserve"> </w:t>
      </w:r>
      <w:r w:rsidR="00620A8A">
        <w:rPr>
          <w:bCs/>
          <w:sz w:val="24"/>
          <w:szCs w:val="24"/>
        </w:rPr>
        <w:t>Yao Tettey, RB Biritwum, AA Adjei, AB Akosa, GO Klufio, Drs JE Mensah, MY Kye</w:t>
      </w:r>
      <w:r w:rsidR="00EE0706">
        <w:rPr>
          <w:bCs/>
          <w:sz w:val="24"/>
          <w:szCs w:val="24"/>
        </w:rPr>
        <w:t>i, KN Ampadu, K Asante</w:t>
      </w:r>
      <w:r w:rsidR="00593D11">
        <w:rPr>
          <w:bCs/>
          <w:sz w:val="24"/>
          <w:szCs w:val="24"/>
        </w:rPr>
        <w:t xml:space="preserve"> all of School of Medicine and Dentistry Korle Bu Teaching Hospital (KBTH) Accra</w:t>
      </w:r>
      <w:r w:rsidR="00EE0706">
        <w:rPr>
          <w:bCs/>
          <w:sz w:val="24"/>
          <w:szCs w:val="24"/>
        </w:rPr>
        <w:t xml:space="preserve"> and all residents, physicians and n</w:t>
      </w:r>
      <w:r w:rsidR="00620A8A">
        <w:rPr>
          <w:bCs/>
          <w:sz w:val="24"/>
          <w:szCs w:val="24"/>
        </w:rPr>
        <w:t>urses who assisted in the original quoted works of Ghana Prostate Health Study on BPH and PC</w:t>
      </w:r>
      <w:r w:rsidR="00593D11">
        <w:rPr>
          <w:bCs/>
          <w:sz w:val="24"/>
          <w:szCs w:val="24"/>
        </w:rPr>
        <w:t xml:space="preserve"> at KBTH</w:t>
      </w:r>
      <w:r w:rsidR="00620A8A">
        <w:rPr>
          <w:bCs/>
          <w:sz w:val="24"/>
          <w:szCs w:val="24"/>
        </w:rPr>
        <w:t>.  We are grateful to Mrs Evelyn Tay for coordination of Prostate Health Study and to Ms Victoria Okyne for</w:t>
      </w:r>
      <w:r w:rsidR="008F2A68">
        <w:rPr>
          <w:bCs/>
          <w:sz w:val="24"/>
          <w:szCs w:val="24"/>
        </w:rPr>
        <w:t xml:space="preserve"> coordination and</w:t>
      </w:r>
      <w:r w:rsidR="00620A8A">
        <w:rPr>
          <w:bCs/>
          <w:sz w:val="24"/>
          <w:szCs w:val="24"/>
        </w:rPr>
        <w:t xml:space="preserve"> secretarial work and the Medical Illustrations Department of College of Health Sciences for some illustrations.</w:t>
      </w:r>
    </w:p>
    <w:p w:rsidR="009B38F9" w:rsidRDefault="009B38F9" w:rsidP="004666DD">
      <w:pPr>
        <w:spacing w:after="0" w:line="480" w:lineRule="auto"/>
        <w:rPr>
          <w:b/>
          <w:bCs/>
          <w:i/>
          <w:sz w:val="24"/>
          <w:szCs w:val="24"/>
          <w:u w:val="single"/>
        </w:rPr>
      </w:pPr>
    </w:p>
    <w:p w:rsidR="004666DD" w:rsidRDefault="004666DD" w:rsidP="00620A8A">
      <w:pPr>
        <w:spacing w:after="0"/>
        <w:rPr>
          <w:b/>
          <w:bCs/>
          <w:i/>
          <w:sz w:val="24"/>
          <w:szCs w:val="24"/>
          <w:u w:val="single"/>
        </w:rPr>
      </w:pPr>
    </w:p>
    <w:p w:rsidR="004666DD" w:rsidRDefault="004666DD" w:rsidP="00620A8A">
      <w:pPr>
        <w:spacing w:after="0"/>
        <w:rPr>
          <w:b/>
          <w:bCs/>
          <w:i/>
          <w:sz w:val="24"/>
          <w:szCs w:val="24"/>
          <w:u w:val="single"/>
        </w:rPr>
      </w:pPr>
    </w:p>
    <w:p w:rsidR="004666DD" w:rsidRDefault="004666DD" w:rsidP="00620A8A">
      <w:pPr>
        <w:spacing w:after="0"/>
        <w:rPr>
          <w:b/>
          <w:bCs/>
          <w:i/>
          <w:sz w:val="24"/>
          <w:szCs w:val="24"/>
          <w:u w:val="single"/>
        </w:rPr>
      </w:pPr>
    </w:p>
    <w:p w:rsidR="004666DD" w:rsidRDefault="004666DD" w:rsidP="00620A8A">
      <w:pPr>
        <w:spacing w:after="0"/>
        <w:rPr>
          <w:b/>
          <w:bCs/>
          <w:i/>
          <w:sz w:val="24"/>
          <w:szCs w:val="24"/>
          <w:u w:val="single"/>
        </w:rPr>
      </w:pPr>
    </w:p>
    <w:p w:rsidR="004666DD" w:rsidRDefault="004666DD" w:rsidP="00620A8A">
      <w:pPr>
        <w:spacing w:after="0"/>
        <w:rPr>
          <w:b/>
          <w:bCs/>
          <w:i/>
          <w:sz w:val="24"/>
          <w:szCs w:val="24"/>
          <w:u w:val="single"/>
        </w:rPr>
      </w:pPr>
    </w:p>
    <w:p w:rsidR="004666DD" w:rsidRDefault="004666DD" w:rsidP="00620A8A">
      <w:pPr>
        <w:spacing w:after="0"/>
        <w:rPr>
          <w:b/>
          <w:bCs/>
          <w:i/>
          <w:sz w:val="24"/>
          <w:szCs w:val="24"/>
          <w:u w:val="single"/>
        </w:rPr>
      </w:pPr>
    </w:p>
    <w:p w:rsidR="004666DD" w:rsidRDefault="004666DD" w:rsidP="00620A8A">
      <w:pPr>
        <w:spacing w:after="0"/>
        <w:rPr>
          <w:bCs/>
          <w:sz w:val="24"/>
          <w:szCs w:val="24"/>
        </w:rPr>
      </w:pPr>
    </w:p>
    <w:p w:rsidR="00E77E21" w:rsidRDefault="00E77E21" w:rsidP="00620A8A">
      <w:pPr>
        <w:spacing w:after="0"/>
        <w:rPr>
          <w:bCs/>
          <w:sz w:val="24"/>
          <w:szCs w:val="24"/>
        </w:rPr>
      </w:pPr>
    </w:p>
    <w:p w:rsidR="00E77E21" w:rsidRDefault="00E77E21" w:rsidP="00620A8A">
      <w:pPr>
        <w:spacing w:after="0"/>
        <w:rPr>
          <w:bCs/>
          <w:sz w:val="24"/>
          <w:szCs w:val="24"/>
        </w:rPr>
      </w:pPr>
    </w:p>
    <w:p w:rsidR="00E77E21" w:rsidRDefault="00E77E21" w:rsidP="00620A8A">
      <w:pPr>
        <w:spacing w:after="0"/>
        <w:rPr>
          <w:bCs/>
          <w:sz w:val="24"/>
          <w:szCs w:val="24"/>
        </w:rPr>
      </w:pPr>
    </w:p>
    <w:p w:rsidR="00E77E21" w:rsidRDefault="00E77E21" w:rsidP="00620A8A">
      <w:pPr>
        <w:spacing w:after="0"/>
        <w:rPr>
          <w:bCs/>
          <w:sz w:val="24"/>
          <w:szCs w:val="24"/>
        </w:rPr>
      </w:pPr>
    </w:p>
    <w:p w:rsidR="00E77E21" w:rsidRDefault="00E77E21" w:rsidP="00620A8A">
      <w:pPr>
        <w:spacing w:after="0"/>
        <w:rPr>
          <w:bCs/>
          <w:sz w:val="24"/>
          <w:szCs w:val="24"/>
        </w:rPr>
      </w:pPr>
    </w:p>
    <w:p w:rsidR="00E77E21" w:rsidRDefault="00E77E21" w:rsidP="00620A8A">
      <w:pPr>
        <w:spacing w:after="0"/>
        <w:rPr>
          <w:bCs/>
          <w:sz w:val="24"/>
          <w:szCs w:val="24"/>
        </w:rPr>
      </w:pPr>
    </w:p>
    <w:p w:rsidR="00E77E21" w:rsidRPr="00E77E21" w:rsidRDefault="00E77E21" w:rsidP="00620A8A">
      <w:pPr>
        <w:spacing w:after="0"/>
        <w:rPr>
          <w:bCs/>
          <w:sz w:val="24"/>
          <w:szCs w:val="24"/>
        </w:rPr>
      </w:pPr>
    </w:p>
    <w:p w:rsidR="009F3BAA" w:rsidRPr="009F3BAA" w:rsidRDefault="009F3BAA" w:rsidP="00620A8A">
      <w:pPr>
        <w:spacing w:after="0"/>
        <w:rPr>
          <w:b/>
          <w:bCs/>
          <w:i/>
          <w:sz w:val="24"/>
          <w:szCs w:val="24"/>
          <w:u w:val="single"/>
        </w:rPr>
      </w:pPr>
    </w:p>
    <w:p w:rsidR="009F3BAA" w:rsidRDefault="009F3BAA" w:rsidP="00620A8A">
      <w:pPr>
        <w:spacing w:after="0"/>
        <w:rPr>
          <w:bCs/>
          <w:i/>
          <w:sz w:val="24"/>
          <w:szCs w:val="24"/>
          <w:u w:val="single"/>
        </w:rPr>
      </w:pPr>
    </w:p>
    <w:p w:rsidR="009F3BAA" w:rsidRPr="00CE7125" w:rsidRDefault="009F3BAA" w:rsidP="009F3BAA">
      <w:pPr>
        <w:spacing w:after="0"/>
        <w:rPr>
          <w:rFonts w:eastAsia="Times New Roman" w:cs="Arial"/>
          <w:b/>
          <w:color w:val="000000"/>
          <w:sz w:val="24"/>
          <w:szCs w:val="24"/>
        </w:rPr>
      </w:pPr>
      <w:r w:rsidRPr="00CE7125">
        <w:rPr>
          <w:rFonts w:eastAsia="Times New Roman" w:cs="Arial"/>
          <w:b/>
          <w:color w:val="000000"/>
          <w:sz w:val="24"/>
          <w:szCs w:val="24"/>
        </w:rPr>
        <w:lastRenderedPageBreak/>
        <w:t>Table 1</w:t>
      </w:r>
    </w:p>
    <w:tbl>
      <w:tblPr>
        <w:tblStyle w:val="TableGrid"/>
        <w:tblW w:w="0" w:type="auto"/>
        <w:tblLook w:val="04A0"/>
      </w:tblPr>
      <w:tblGrid>
        <w:gridCol w:w="6588"/>
      </w:tblGrid>
      <w:tr w:rsidR="009F3BAA" w:rsidTr="002715FC">
        <w:tc>
          <w:tcPr>
            <w:tcW w:w="6588" w:type="dxa"/>
          </w:tcPr>
          <w:p w:rsidR="009F3BAA" w:rsidRDefault="009F3BAA" w:rsidP="002715FC">
            <w:pPr>
              <w:rPr>
                <w:rFonts w:eastAsia="Times New Roman" w:cs="Arial"/>
                <w:color w:val="000000"/>
                <w:sz w:val="24"/>
                <w:szCs w:val="24"/>
              </w:rPr>
            </w:pPr>
            <w:r w:rsidRPr="00996E2B">
              <w:rPr>
                <w:rFonts w:eastAsia="Times New Roman" w:cs="Arial"/>
                <w:color w:val="000000"/>
                <w:sz w:val="24"/>
                <w:szCs w:val="24"/>
              </w:rPr>
              <w:t>MORPHOLOGICAL ANATO</w:t>
            </w:r>
            <w:r>
              <w:rPr>
                <w:rFonts w:eastAsia="Times New Roman" w:cs="Arial"/>
                <w:color w:val="000000"/>
                <w:sz w:val="24"/>
                <w:szCs w:val="24"/>
              </w:rPr>
              <w:t xml:space="preserve">MY AND ORIGIN </w:t>
            </w:r>
            <w:r w:rsidRPr="00996E2B">
              <w:rPr>
                <w:rFonts w:eastAsia="Times New Roman" w:cs="Arial"/>
                <w:color w:val="000000"/>
                <w:sz w:val="24"/>
                <w:szCs w:val="24"/>
              </w:rPr>
              <w:t>OF BPH/CAP</w:t>
            </w:r>
            <w:r>
              <w:rPr>
                <w:rFonts w:eastAsia="Times New Roman" w:cs="Arial"/>
                <w:color w:val="000000"/>
                <w:sz w:val="24"/>
                <w:szCs w:val="24"/>
              </w:rPr>
              <w:t xml:space="preserve"> IN PROSTATE GLAND</w:t>
            </w:r>
          </w:p>
        </w:tc>
      </w:tr>
      <w:tr w:rsidR="009F3BAA" w:rsidTr="002715FC">
        <w:trPr>
          <w:trHeight w:val="1727"/>
        </w:trPr>
        <w:tc>
          <w:tcPr>
            <w:tcW w:w="6588" w:type="dxa"/>
          </w:tcPr>
          <w:p w:rsidR="009F3BAA" w:rsidRPr="00996E2B" w:rsidRDefault="009F3BAA" w:rsidP="002715FC">
            <w:pPr>
              <w:rPr>
                <w:rFonts w:eastAsia="Times New Roman" w:cs="Arial"/>
                <w:color w:val="000000"/>
                <w:sz w:val="24"/>
                <w:szCs w:val="24"/>
              </w:rPr>
            </w:pPr>
            <w:r w:rsidRPr="00996E2B">
              <w:rPr>
                <w:rFonts w:eastAsia="Times New Roman" w:cs="Arial"/>
                <w:color w:val="000000"/>
                <w:sz w:val="24"/>
                <w:szCs w:val="24"/>
              </w:rPr>
              <w:tab/>
            </w:r>
            <w:r w:rsidRPr="00996E2B">
              <w:rPr>
                <w:rFonts w:eastAsia="Times New Roman" w:cs="Arial"/>
                <w:color w:val="000000"/>
                <w:sz w:val="24"/>
                <w:szCs w:val="24"/>
              </w:rPr>
              <w:tab/>
              <w:t xml:space="preserve">Normal </w:t>
            </w:r>
          </w:p>
          <w:p w:rsidR="009F3BAA" w:rsidRPr="00996E2B" w:rsidRDefault="009F3BAA" w:rsidP="002715FC">
            <w:pPr>
              <w:ind w:left="720"/>
              <w:rPr>
                <w:rFonts w:eastAsia="Times New Roman" w:cs="Arial"/>
                <w:color w:val="000000"/>
                <w:sz w:val="24"/>
                <w:szCs w:val="24"/>
              </w:rPr>
            </w:pPr>
            <w:r w:rsidRPr="00996E2B">
              <w:rPr>
                <w:rFonts w:eastAsia="Times New Roman" w:cs="Arial"/>
                <w:color w:val="000000"/>
                <w:sz w:val="24"/>
                <w:szCs w:val="24"/>
                <w:u w:val="single"/>
              </w:rPr>
              <w:t>Origins</w:t>
            </w:r>
            <w:r w:rsidRPr="00996E2B">
              <w:rPr>
                <w:rFonts w:eastAsia="Times New Roman" w:cs="Arial"/>
                <w:color w:val="000000"/>
                <w:sz w:val="24"/>
                <w:szCs w:val="24"/>
              </w:rPr>
              <w:t xml:space="preserve">        </w:t>
            </w:r>
            <w:r w:rsidRPr="00996E2B">
              <w:rPr>
                <w:rFonts w:eastAsia="Times New Roman" w:cs="Arial"/>
                <w:color w:val="000000"/>
                <w:sz w:val="24"/>
                <w:szCs w:val="24"/>
                <w:u w:val="single"/>
              </w:rPr>
              <w:t>Gland</w:t>
            </w:r>
            <w:r w:rsidRPr="00996E2B">
              <w:rPr>
                <w:rFonts w:eastAsia="Times New Roman" w:cs="Arial"/>
                <w:color w:val="000000"/>
                <w:sz w:val="24"/>
                <w:szCs w:val="24"/>
              </w:rPr>
              <w:t xml:space="preserve">      </w:t>
            </w:r>
            <w:r w:rsidRPr="00996E2B">
              <w:rPr>
                <w:rFonts w:eastAsia="Times New Roman" w:cs="Arial"/>
                <w:color w:val="000000"/>
                <w:sz w:val="24"/>
                <w:szCs w:val="24"/>
                <w:u w:val="single"/>
              </w:rPr>
              <w:t>BPH/BPE</w:t>
            </w:r>
            <w:r w:rsidRPr="00996E2B">
              <w:rPr>
                <w:rFonts w:eastAsia="Times New Roman" w:cs="Arial"/>
                <w:color w:val="000000"/>
                <w:sz w:val="24"/>
                <w:szCs w:val="24"/>
              </w:rPr>
              <w:t xml:space="preserve">    </w:t>
            </w:r>
            <w:r>
              <w:rPr>
                <w:rFonts w:eastAsia="Times New Roman" w:cs="Arial"/>
                <w:color w:val="000000"/>
                <w:sz w:val="24"/>
                <w:szCs w:val="24"/>
              </w:rPr>
              <w:t xml:space="preserve">     </w:t>
            </w:r>
            <w:r w:rsidRPr="00996E2B">
              <w:rPr>
                <w:rFonts w:eastAsia="Times New Roman" w:cs="Arial"/>
                <w:color w:val="000000"/>
                <w:sz w:val="24"/>
                <w:szCs w:val="24"/>
              </w:rPr>
              <w:t xml:space="preserve"> </w:t>
            </w:r>
            <w:r w:rsidRPr="00996E2B">
              <w:rPr>
                <w:rFonts w:eastAsia="Times New Roman" w:cs="Arial"/>
                <w:color w:val="000000"/>
                <w:sz w:val="24"/>
                <w:szCs w:val="24"/>
                <w:u w:val="single"/>
              </w:rPr>
              <w:t xml:space="preserve">Prostate </w:t>
            </w:r>
            <w:r>
              <w:rPr>
                <w:rFonts w:eastAsia="Times New Roman" w:cs="Arial"/>
                <w:color w:val="000000"/>
                <w:sz w:val="24"/>
                <w:szCs w:val="24"/>
                <w:u w:val="single"/>
              </w:rPr>
              <w:t>Cancer</w:t>
            </w:r>
            <w:r w:rsidRPr="00996E2B">
              <w:rPr>
                <w:rFonts w:eastAsia="Times New Roman" w:cs="Arial"/>
                <w:color w:val="000000"/>
                <w:sz w:val="24"/>
                <w:szCs w:val="24"/>
                <w:u w:val="single"/>
              </w:rPr>
              <w:t xml:space="preserve"> (</w:t>
            </w:r>
            <w:r>
              <w:rPr>
                <w:rFonts w:eastAsia="Times New Roman" w:cs="Arial"/>
                <w:color w:val="000000"/>
                <w:sz w:val="24"/>
                <w:szCs w:val="24"/>
                <w:u w:val="single"/>
              </w:rPr>
              <w:t>PC)</w:t>
            </w:r>
            <w:r w:rsidRPr="00996E2B">
              <w:rPr>
                <w:rFonts w:eastAsia="Times New Roman" w:cs="Arial"/>
                <w:color w:val="000000"/>
                <w:sz w:val="24"/>
                <w:szCs w:val="24"/>
              </w:rPr>
              <w:t xml:space="preserve"> </w:t>
            </w:r>
            <w:r w:rsidRPr="00996E2B">
              <w:rPr>
                <w:rFonts w:eastAsia="Times New Roman" w:cs="Arial"/>
                <w:color w:val="000000"/>
                <w:sz w:val="24"/>
                <w:szCs w:val="24"/>
              </w:rPr>
              <w:tab/>
              <w:t xml:space="preserve"> </w:t>
            </w:r>
          </w:p>
          <w:p w:rsidR="009F3BAA" w:rsidRPr="00996E2B" w:rsidRDefault="009F3BAA" w:rsidP="002715FC">
            <w:pPr>
              <w:numPr>
                <w:ilvl w:val="0"/>
                <w:numId w:val="2"/>
              </w:numPr>
              <w:rPr>
                <w:rFonts w:eastAsia="Times New Roman" w:cs="Arial"/>
                <w:color w:val="000000"/>
                <w:sz w:val="24"/>
                <w:szCs w:val="24"/>
              </w:rPr>
            </w:pPr>
            <w:r w:rsidRPr="00996E2B">
              <w:rPr>
                <w:rFonts w:eastAsia="Times New Roman" w:cs="Arial"/>
                <w:color w:val="000000"/>
                <w:sz w:val="24"/>
                <w:szCs w:val="24"/>
              </w:rPr>
              <w:t>PZ               70 – 80%          -</w:t>
            </w:r>
            <w:r w:rsidRPr="00996E2B">
              <w:rPr>
                <w:rFonts w:eastAsia="Times New Roman" w:cs="Arial"/>
                <w:color w:val="000000"/>
                <w:sz w:val="24"/>
                <w:szCs w:val="24"/>
              </w:rPr>
              <w:tab/>
            </w:r>
            <w:r w:rsidRPr="00996E2B">
              <w:rPr>
                <w:rFonts w:eastAsia="Times New Roman" w:cs="Arial"/>
                <w:color w:val="000000"/>
                <w:sz w:val="24"/>
                <w:szCs w:val="24"/>
              </w:rPr>
              <w:tab/>
            </w:r>
            <w:r w:rsidRPr="00996E2B">
              <w:rPr>
                <w:rFonts w:eastAsia="Times New Roman" w:cs="Arial"/>
                <w:color w:val="000000"/>
                <w:sz w:val="24"/>
                <w:szCs w:val="24"/>
              </w:rPr>
              <w:tab/>
              <w:t>&gt; 70%</w:t>
            </w:r>
          </w:p>
          <w:p w:rsidR="009F3BAA" w:rsidRPr="00996E2B" w:rsidRDefault="009F3BAA" w:rsidP="002715FC">
            <w:pPr>
              <w:numPr>
                <w:ilvl w:val="0"/>
                <w:numId w:val="2"/>
              </w:numPr>
              <w:rPr>
                <w:rFonts w:eastAsia="Times New Roman" w:cs="Arial"/>
                <w:color w:val="000000"/>
                <w:sz w:val="24"/>
                <w:szCs w:val="24"/>
              </w:rPr>
            </w:pPr>
            <w:r w:rsidRPr="00996E2B">
              <w:rPr>
                <w:rFonts w:eastAsia="Times New Roman" w:cs="Arial"/>
                <w:color w:val="000000"/>
                <w:sz w:val="24"/>
                <w:szCs w:val="24"/>
              </w:rPr>
              <w:t>TZ               10%                 100%</w:t>
            </w:r>
            <w:r w:rsidRPr="00996E2B">
              <w:rPr>
                <w:rFonts w:eastAsia="Times New Roman" w:cs="Arial"/>
                <w:color w:val="000000"/>
                <w:sz w:val="24"/>
                <w:szCs w:val="24"/>
              </w:rPr>
              <w:tab/>
            </w:r>
            <w:r w:rsidRPr="00996E2B">
              <w:rPr>
                <w:rFonts w:eastAsia="Times New Roman" w:cs="Arial"/>
                <w:color w:val="000000"/>
                <w:sz w:val="24"/>
                <w:szCs w:val="24"/>
              </w:rPr>
              <w:tab/>
              <w:t xml:space="preserve">   20%</w:t>
            </w:r>
          </w:p>
          <w:p w:rsidR="009F3BAA" w:rsidRPr="00996E2B" w:rsidRDefault="009F3BAA" w:rsidP="002715FC">
            <w:pPr>
              <w:numPr>
                <w:ilvl w:val="0"/>
                <w:numId w:val="2"/>
              </w:numPr>
              <w:rPr>
                <w:rFonts w:eastAsia="Times New Roman" w:cs="Arial"/>
                <w:color w:val="000000"/>
                <w:sz w:val="24"/>
                <w:szCs w:val="24"/>
              </w:rPr>
            </w:pPr>
            <w:r w:rsidRPr="00996E2B">
              <w:rPr>
                <w:rFonts w:eastAsia="Times New Roman" w:cs="Arial"/>
                <w:color w:val="000000"/>
                <w:sz w:val="24"/>
                <w:szCs w:val="24"/>
              </w:rPr>
              <w:t>CZ               20%                  -</w:t>
            </w:r>
            <w:r w:rsidRPr="00996E2B">
              <w:rPr>
                <w:rFonts w:eastAsia="Times New Roman" w:cs="Arial"/>
                <w:color w:val="000000"/>
                <w:sz w:val="24"/>
                <w:szCs w:val="24"/>
              </w:rPr>
              <w:tab/>
            </w:r>
            <w:r w:rsidRPr="00996E2B">
              <w:rPr>
                <w:rFonts w:eastAsia="Times New Roman" w:cs="Arial"/>
                <w:color w:val="000000"/>
                <w:sz w:val="24"/>
                <w:szCs w:val="24"/>
              </w:rPr>
              <w:tab/>
              <w:t xml:space="preserve">   </w:t>
            </w:r>
            <w:r w:rsidRPr="00996E2B">
              <w:rPr>
                <w:rFonts w:eastAsia="Times New Roman" w:cs="Arial"/>
                <w:color w:val="000000"/>
                <w:sz w:val="24"/>
                <w:szCs w:val="24"/>
              </w:rPr>
              <w:tab/>
              <w:t xml:space="preserve">   10%</w:t>
            </w:r>
          </w:p>
          <w:p w:rsidR="009F3BAA" w:rsidRDefault="009F3BAA" w:rsidP="002715FC">
            <w:pPr>
              <w:rPr>
                <w:rFonts w:eastAsia="Times New Roman" w:cs="Arial"/>
                <w:color w:val="000000"/>
                <w:sz w:val="24"/>
                <w:szCs w:val="24"/>
              </w:rPr>
            </w:pPr>
          </w:p>
        </w:tc>
      </w:tr>
    </w:tbl>
    <w:p w:rsidR="009F3BAA" w:rsidRDefault="009F3BAA" w:rsidP="009F3BAA">
      <w:pPr>
        <w:rPr>
          <w:rFonts w:eastAsia="Times New Roman" w:cs="Arial"/>
          <w:b/>
          <w:color w:val="000000"/>
          <w:sz w:val="24"/>
          <w:szCs w:val="24"/>
        </w:rPr>
      </w:pPr>
    </w:p>
    <w:p w:rsidR="009F3BAA" w:rsidRDefault="009F3BAA" w:rsidP="00620A8A">
      <w:pPr>
        <w:spacing w:after="0"/>
        <w:rPr>
          <w:bCs/>
          <w:i/>
          <w:sz w:val="24"/>
          <w:szCs w:val="24"/>
          <w:u w:val="single"/>
        </w:rPr>
      </w:pPr>
    </w:p>
    <w:p w:rsidR="00593D11" w:rsidRDefault="00593D11" w:rsidP="00386012">
      <w:pPr>
        <w:spacing w:after="0" w:line="240" w:lineRule="auto"/>
        <w:rPr>
          <w:rFonts w:eastAsia="Times New Roman" w:cs="Arial"/>
          <w:b/>
          <w:bCs/>
          <w:color w:val="000000"/>
          <w:sz w:val="24"/>
          <w:szCs w:val="24"/>
        </w:rPr>
      </w:pPr>
    </w:p>
    <w:p w:rsidR="00593D11" w:rsidRDefault="00593D11" w:rsidP="00386012">
      <w:pPr>
        <w:spacing w:after="0" w:line="240" w:lineRule="auto"/>
        <w:rPr>
          <w:rFonts w:eastAsia="Times New Roman" w:cs="Arial"/>
          <w:b/>
          <w:bCs/>
          <w:color w:val="000000"/>
          <w:sz w:val="24"/>
          <w:szCs w:val="24"/>
        </w:rPr>
      </w:pPr>
    </w:p>
    <w:p w:rsidR="00386012" w:rsidRPr="005C0455" w:rsidRDefault="00386012" w:rsidP="00386012">
      <w:pPr>
        <w:spacing w:after="0" w:line="240" w:lineRule="auto"/>
        <w:rPr>
          <w:rFonts w:eastAsia="Times New Roman" w:cs="Arial"/>
          <w:color w:val="000000"/>
          <w:sz w:val="24"/>
          <w:szCs w:val="24"/>
        </w:rPr>
      </w:pPr>
      <w:proofErr w:type="gramStart"/>
      <w:r w:rsidRPr="00CE7125">
        <w:rPr>
          <w:rFonts w:eastAsia="Times New Roman" w:cs="Arial"/>
          <w:b/>
          <w:bCs/>
          <w:color w:val="000000"/>
          <w:sz w:val="24"/>
          <w:szCs w:val="24"/>
        </w:rPr>
        <w:t>Table 2</w:t>
      </w:r>
      <w:r w:rsidRPr="005C0455">
        <w:rPr>
          <w:rFonts w:eastAsia="Times New Roman" w:cs="Arial"/>
          <w:bCs/>
          <w:color w:val="000000"/>
          <w:sz w:val="24"/>
          <w:szCs w:val="24"/>
        </w:rPr>
        <w:t>.</w:t>
      </w:r>
      <w:proofErr w:type="gramEnd"/>
      <w:r w:rsidRPr="005C0455">
        <w:rPr>
          <w:rFonts w:eastAsia="Times New Roman" w:cs="Arial"/>
          <w:bCs/>
          <w:color w:val="000000"/>
          <w:sz w:val="24"/>
          <w:szCs w:val="24"/>
        </w:rPr>
        <w:t xml:space="preserve">  PREVALENCE BPH/BPE AND LOWER URINARY TRACT SYMPTOMS (LUTS)</w:t>
      </w:r>
      <w:r>
        <w:rPr>
          <w:rFonts w:eastAsia="Times New Roman" w:cs="Arial"/>
          <w:bCs/>
          <w:color w:val="000000"/>
          <w:sz w:val="24"/>
          <w:szCs w:val="24"/>
        </w:rPr>
        <w:t xml:space="preserve"> IN GHANA WEST AFRICA</w:t>
      </w:r>
      <w:r>
        <w:rPr>
          <w:rFonts w:eastAsia="Times New Roman" w:cs="Arial"/>
          <w:bCs/>
          <w:color w:val="000000"/>
          <w:sz w:val="24"/>
          <w:szCs w:val="24"/>
          <w:vertAlign w:val="superscript"/>
        </w:rPr>
        <w:t>18</w:t>
      </w:r>
    </w:p>
    <w:p w:rsidR="00386012" w:rsidRDefault="00386012" w:rsidP="00386012">
      <w:pPr>
        <w:spacing w:after="0" w:line="240" w:lineRule="auto"/>
        <w:rPr>
          <w:rFonts w:eastAsia="Times New Roman" w:cs="Arial"/>
          <w:b/>
          <w:color w:val="000000"/>
          <w:sz w:val="24"/>
          <w:szCs w:val="24"/>
        </w:rPr>
      </w:pPr>
    </w:p>
    <w:tbl>
      <w:tblPr>
        <w:tblStyle w:val="TableGrid"/>
        <w:tblW w:w="0" w:type="auto"/>
        <w:tblLook w:val="04A0"/>
      </w:tblPr>
      <w:tblGrid>
        <w:gridCol w:w="9576"/>
      </w:tblGrid>
      <w:tr w:rsidR="00386012" w:rsidTr="002715FC">
        <w:trPr>
          <w:trHeight w:val="937"/>
        </w:trPr>
        <w:tc>
          <w:tcPr>
            <w:tcW w:w="9576" w:type="dxa"/>
            <w:tcBorders>
              <w:left w:val="nil"/>
              <w:bottom w:val="single" w:sz="4" w:space="0" w:color="auto"/>
              <w:right w:val="nil"/>
            </w:tcBorders>
          </w:tcPr>
          <w:p w:rsidR="00386012" w:rsidRDefault="00386012" w:rsidP="002715FC">
            <w:pPr>
              <w:spacing w:line="276" w:lineRule="auto"/>
            </w:pPr>
            <w:r>
              <w:t xml:space="preserve">                                                                                                                Age GP in years</w:t>
            </w:r>
          </w:p>
          <w:p w:rsidR="00386012" w:rsidRDefault="00386012" w:rsidP="002715FC">
            <w:pPr>
              <w:spacing w:line="276" w:lineRule="auto"/>
            </w:pPr>
            <w:r>
              <w:t>Definition BPH LUTS                   Overall                  50 – 59                      60 – 69                   70 – 79</w:t>
            </w:r>
          </w:p>
          <w:p w:rsidR="00386012" w:rsidRDefault="00386012" w:rsidP="002715FC">
            <w:pPr>
              <w:spacing w:line="276" w:lineRule="auto"/>
            </w:pPr>
            <w:r>
              <w:t xml:space="preserve">                                                      (n=950)</w:t>
            </w:r>
          </w:p>
        </w:tc>
      </w:tr>
      <w:tr w:rsidR="00386012" w:rsidTr="002715FC">
        <w:tc>
          <w:tcPr>
            <w:tcW w:w="9576" w:type="dxa"/>
            <w:tcBorders>
              <w:left w:val="nil"/>
              <w:right w:val="nil"/>
            </w:tcBorders>
          </w:tcPr>
          <w:p w:rsidR="00386012" w:rsidRDefault="00386012" w:rsidP="002715FC">
            <w:pPr>
              <w:spacing w:line="276" w:lineRule="auto"/>
            </w:pPr>
            <w:r>
              <w:t xml:space="preserve">DRE/BPE </w:t>
            </w:r>
            <w:r>
              <w:rPr>
                <w:rFonts w:ascii="Calibri" w:hAnsi="Calibri"/>
              </w:rPr>
              <w:t>≥</w:t>
            </w:r>
            <w:r>
              <w:t xml:space="preserve"> 30cc                              62                            59                                68                            60</w:t>
            </w:r>
          </w:p>
        </w:tc>
      </w:tr>
      <w:tr w:rsidR="00386012" w:rsidTr="002715FC">
        <w:tc>
          <w:tcPr>
            <w:tcW w:w="9576" w:type="dxa"/>
            <w:tcBorders>
              <w:left w:val="nil"/>
              <w:right w:val="nil"/>
            </w:tcBorders>
          </w:tcPr>
          <w:p w:rsidR="00386012" w:rsidRPr="0098231B" w:rsidRDefault="00386012" w:rsidP="002715FC">
            <w:pPr>
              <w:spacing w:line="276" w:lineRule="auto"/>
              <w:rPr>
                <w:u w:val="single"/>
              </w:rPr>
            </w:pPr>
            <w:r w:rsidRPr="0098231B">
              <w:rPr>
                <w:u w:val="single"/>
              </w:rPr>
              <w:t>IPSS</w:t>
            </w:r>
          </w:p>
          <w:p w:rsidR="00386012" w:rsidRDefault="00386012" w:rsidP="002715FC">
            <w:pPr>
              <w:spacing w:line="276" w:lineRule="auto"/>
            </w:pPr>
            <w:r>
              <w:t>Mild (0 – 7)                                     74                             79                                73                            61</w:t>
            </w:r>
          </w:p>
          <w:p w:rsidR="00386012" w:rsidRDefault="00386012" w:rsidP="002715FC">
            <w:pPr>
              <w:spacing w:line="276" w:lineRule="auto"/>
            </w:pPr>
            <w:r>
              <w:t xml:space="preserve">Moderate – severe </w:t>
            </w:r>
            <w:r>
              <w:rPr>
                <w:rFonts w:ascii="Calibri" w:hAnsi="Calibri"/>
              </w:rPr>
              <w:t>≥</w:t>
            </w:r>
            <w:r>
              <w:t xml:space="preserve"> 8                 20                             15                                23                            35</w:t>
            </w:r>
          </w:p>
        </w:tc>
      </w:tr>
      <w:tr w:rsidR="00386012" w:rsidTr="002715FC">
        <w:tc>
          <w:tcPr>
            <w:tcW w:w="9576" w:type="dxa"/>
            <w:tcBorders>
              <w:left w:val="nil"/>
              <w:right w:val="nil"/>
            </w:tcBorders>
          </w:tcPr>
          <w:p w:rsidR="00386012" w:rsidRPr="008731F3" w:rsidRDefault="00386012" w:rsidP="002715FC">
            <w:pPr>
              <w:spacing w:line="276" w:lineRule="auto"/>
              <w:rPr>
                <w:u w:val="single"/>
              </w:rPr>
            </w:pPr>
            <w:r w:rsidRPr="008731F3">
              <w:rPr>
                <w:u w:val="single"/>
              </w:rPr>
              <w:t xml:space="preserve">IPSS – QOL </w:t>
            </w:r>
          </w:p>
          <w:p w:rsidR="00386012" w:rsidRDefault="00386012" w:rsidP="002715FC">
            <w:pPr>
              <w:spacing w:line="276" w:lineRule="auto"/>
            </w:pPr>
            <w:r>
              <w:t>0 – 2 Delighted satisfied              81                              84                               80                             70</w:t>
            </w:r>
          </w:p>
          <w:p w:rsidR="00386012" w:rsidRDefault="00386012" w:rsidP="002715FC">
            <w:pPr>
              <w:spacing w:line="276" w:lineRule="auto"/>
            </w:pPr>
            <w:r>
              <w:t>≥ 3 mixed terrible                         18                              15                               19                             29</w:t>
            </w:r>
          </w:p>
        </w:tc>
      </w:tr>
      <w:tr w:rsidR="00386012" w:rsidTr="002715FC">
        <w:tc>
          <w:tcPr>
            <w:tcW w:w="9576" w:type="dxa"/>
            <w:tcBorders>
              <w:left w:val="nil"/>
              <w:right w:val="nil"/>
            </w:tcBorders>
          </w:tcPr>
          <w:p w:rsidR="00386012" w:rsidRDefault="00386012" w:rsidP="002715FC">
            <w:pPr>
              <w:spacing w:line="276" w:lineRule="auto"/>
            </w:pPr>
            <w:r>
              <w:t>DRE BPH vs IPSS ≥ 8                     14                               9                                 17                             22</w:t>
            </w:r>
          </w:p>
        </w:tc>
      </w:tr>
      <w:tr w:rsidR="00386012" w:rsidTr="002715FC">
        <w:tc>
          <w:tcPr>
            <w:tcW w:w="9576" w:type="dxa"/>
            <w:tcBorders>
              <w:left w:val="nil"/>
              <w:right w:val="nil"/>
            </w:tcBorders>
          </w:tcPr>
          <w:p w:rsidR="00386012" w:rsidRDefault="00386012" w:rsidP="002715FC">
            <w:pPr>
              <w:spacing w:line="276" w:lineRule="auto"/>
            </w:pPr>
            <w:r>
              <w:t>PSA ≥ 1.5ng/ml ≥ 30cc                36                               25                               43                             58</w:t>
            </w:r>
          </w:p>
        </w:tc>
      </w:tr>
      <w:tr w:rsidR="00386012" w:rsidTr="002715FC">
        <w:tc>
          <w:tcPr>
            <w:tcW w:w="9576" w:type="dxa"/>
            <w:tcBorders>
              <w:left w:val="nil"/>
              <w:right w:val="nil"/>
            </w:tcBorders>
          </w:tcPr>
          <w:p w:rsidR="00386012" w:rsidRDefault="00386012" w:rsidP="002715FC">
            <w:pPr>
              <w:spacing w:line="276" w:lineRule="auto"/>
            </w:pPr>
            <w:r>
              <w:t>Imputed prostate vol. ≥              30                               15                               41                             58</w:t>
            </w:r>
          </w:p>
          <w:p w:rsidR="00386012" w:rsidRDefault="00386012" w:rsidP="002715FC">
            <w:pPr>
              <w:spacing w:line="276" w:lineRule="auto"/>
            </w:pPr>
            <w:r>
              <w:t>30cc n = 281 data set</w:t>
            </w:r>
          </w:p>
        </w:tc>
      </w:tr>
    </w:tbl>
    <w:p w:rsidR="00386012" w:rsidRDefault="00386012" w:rsidP="00386012">
      <w:pPr>
        <w:spacing w:after="0" w:line="240" w:lineRule="auto"/>
        <w:rPr>
          <w:rFonts w:eastAsia="Times New Roman" w:cs="Arial"/>
          <w:bCs/>
          <w:color w:val="000000"/>
          <w:sz w:val="24"/>
          <w:szCs w:val="24"/>
        </w:rPr>
      </w:pPr>
    </w:p>
    <w:p w:rsidR="00386012" w:rsidRDefault="00386012" w:rsidP="00386012">
      <w:pPr>
        <w:spacing w:after="0" w:line="240" w:lineRule="auto"/>
        <w:rPr>
          <w:rFonts w:eastAsia="Times New Roman" w:cs="Arial"/>
          <w:b/>
          <w:color w:val="000000"/>
          <w:sz w:val="24"/>
          <w:szCs w:val="24"/>
        </w:rPr>
      </w:pPr>
    </w:p>
    <w:p w:rsidR="00386012" w:rsidRDefault="00386012" w:rsidP="00386012">
      <w:pPr>
        <w:spacing w:after="0" w:line="240" w:lineRule="auto"/>
        <w:rPr>
          <w:rFonts w:eastAsia="Times New Roman" w:cs="Arial"/>
          <w:b/>
          <w:color w:val="000000"/>
          <w:sz w:val="24"/>
          <w:szCs w:val="24"/>
        </w:rPr>
      </w:pPr>
      <w:r>
        <w:rPr>
          <w:rFonts w:eastAsia="Times New Roman" w:cs="Arial"/>
          <w:b/>
          <w:color w:val="000000"/>
          <w:sz w:val="24"/>
          <w:szCs w:val="24"/>
        </w:rPr>
        <w:lastRenderedPageBreak/>
        <w:t>Table 3       % Prevalence BPH/BPE in Various Gp years</w:t>
      </w:r>
      <w:r w:rsidR="00601102" w:rsidRPr="00601102">
        <w:rPr>
          <w:rFonts w:eastAsia="Times New Roman" w:cs="Arial"/>
          <w:b/>
          <w:noProof/>
          <w:color w:val="000000"/>
          <w:sz w:val="24"/>
          <w:szCs w:val="24"/>
        </w:rPr>
      </w:r>
      <w:r w:rsidR="00601102">
        <w:rPr>
          <w:rFonts w:eastAsia="Times New Roman" w:cs="Arial"/>
          <w:b/>
          <w:noProof/>
          <w:color w:val="000000"/>
          <w:sz w:val="24"/>
          <w:szCs w:val="24"/>
        </w:rPr>
        <w:pict>
          <v:rect id="Rectangle 3" o:spid="_x0000_s1045" style="width:409.5pt;height:184.5pt;visibility:visible;mso-position-horizontal-relative:char;mso-position-vertical-relative:line" filled="f" stroked="f">
            <o:lock v:ext="edit" grouping="t"/>
            <v:textbox>
              <w:txbxContent>
                <w:p w:rsidR="002715FC" w:rsidRPr="007670DC" w:rsidRDefault="002715FC" w:rsidP="00386012">
                  <w:pPr>
                    <w:pStyle w:val="NormalWeb"/>
                    <w:spacing w:before="115" w:beforeAutospacing="0" w:after="0" w:afterAutospacing="0"/>
                    <w:ind w:left="547" w:hanging="547"/>
                  </w:pPr>
                  <w:r>
                    <w:rPr>
                      <w:rFonts w:asciiTheme="minorHAnsi" w:hAnsi="Calibri" w:cstheme="minorBidi"/>
                      <w:color w:val="000000" w:themeColor="text1"/>
                      <w:kern w:val="24"/>
                      <w:sz w:val="48"/>
                      <w:szCs w:val="48"/>
                    </w:rPr>
                    <w:tab/>
                  </w:r>
                  <w:r>
                    <w:rPr>
                      <w:rFonts w:asciiTheme="minorHAnsi" w:hAnsi="Calibri" w:cstheme="minorBidi"/>
                      <w:color w:val="000000" w:themeColor="text1"/>
                      <w:kern w:val="24"/>
                      <w:sz w:val="48"/>
                      <w:szCs w:val="48"/>
                    </w:rPr>
                    <w:tab/>
                  </w:r>
                  <w:r>
                    <w:rPr>
                      <w:rFonts w:asciiTheme="minorHAnsi" w:hAnsi="Calibri" w:cstheme="minorBidi"/>
                      <w:color w:val="000000" w:themeColor="text1"/>
                      <w:kern w:val="24"/>
                      <w:sz w:val="48"/>
                      <w:szCs w:val="48"/>
                    </w:rPr>
                    <w:tab/>
                  </w:r>
                  <w:r>
                    <w:rPr>
                      <w:rFonts w:asciiTheme="minorHAnsi" w:hAnsi="Calibri" w:cstheme="minorBidi"/>
                      <w:color w:val="000000" w:themeColor="text1"/>
                      <w:kern w:val="24"/>
                      <w:sz w:val="48"/>
                      <w:szCs w:val="48"/>
                    </w:rPr>
                    <w:tab/>
                  </w:r>
                  <w:r>
                    <w:rPr>
                      <w:rFonts w:asciiTheme="minorHAnsi" w:hAnsi="Calibri" w:cstheme="minorBidi"/>
                      <w:color w:val="000000" w:themeColor="text1"/>
                      <w:kern w:val="24"/>
                      <w:sz w:val="48"/>
                      <w:szCs w:val="48"/>
                    </w:rPr>
                    <w:tab/>
                  </w:r>
                  <w:r>
                    <w:rPr>
                      <w:rFonts w:asciiTheme="minorHAnsi" w:hAnsi="Calibri" w:cstheme="minorBidi"/>
                      <w:color w:val="000000" w:themeColor="text1"/>
                      <w:kern w:val="24"/>
                      <w:sz w:val="48"/>
                      <w:szCs w:val="48"/>
                    </w:rPr>
                    <w:tab/>
                  </w:r>
                  <w:r w:rsidRPr="007670DC">
                    <w:rPr>
                      <w:rFonts w:asciiTheme="minorHAnsi" w:hAnsi="Calibri" w:cstheme="minorBidi"/>
                      <w:color w:val="000000" w:themeColor="text1"/>
                      <w:kern w:val="24"/>
                      <w:u w:val="single"/>
                    </w:rPr>
                    <w:t>Age Gps yrs</w:t>
                  </w:r>
                </w:p>
                <w:p w:rsidR="002715FC" w:rsidRPr="007670DC" w:rsidRDefault="002715FC" w:rsidP="00386012">
                  <w:pPr>
                    <w:pStyle w:val="NormalWeb"/>
                    <w:spacing w:before="115" w:beforeAutospacing="0" w:after="0" w:afterAutospacing="0"/>
                    <w:ind w:left="547" w:hanging="547"/>
                  </w:pPr>
                  <w:r w:rsidRPr="007670DC">
                    <w:rPr>
                      <w:rFonts w:asciiTheme="minorHAnsi" w:hAnsi="Calibri" w:cstheme="minorBidi"/>
                      <w:color w:val="000000" w:themeColor="text1"/>
                      <w:kern w:val="24"/>
                    </w:rPr>
                    <w:t>Parameter</w:t>
                  </w:r>
                  <w:r w:rsidRPr="007670DC">
                    <w:rPr>
                      <w:rFonts w:asciiTheme="minorHAnsi" w:hAnsi="Calibri" w:cstheme="minorBidi"/>
                      <w:color w:val="000000" w:themeColor="text1"/>
                      <w:kern w:val="24"/>
                    </w:rPr>
                    <w:tab/>
                    <w:t xml:space="preserve">            Overall     </w:t>
                  </w:r>
                  <w:r w:rsidRPr="007670DC">
                    <w:rPr>
                      <w:rFonts w:asciiTheme="minorHAnsi" w:hAnsi="Calibri" w:cstheme="minorBidi"/>
                      <w:color w:val="000000" w:themeColor="text1"/>
                      <w:kern w:val="24"/>
                      <w:u w:val="single"/>
                    </w:rPr>
                    <w:t>50 – 59     60 – 69       &gt; 70</w:t>
                  </w:r>
                </w:p>
                <w:p w:rsidR="002715FC" w:rsidRPr="007670DC" w:rsidRDefault="002715FC" w:rsidP="00386012">
                  <w:pPr>
                    <w:pStyle w:val="ListParagraph"/>
                    <w:numPr>
                      <w:ilvl w:val="0"/>
                      <w:numId w:val="6"/>
                    </w:numPr>
                    <w:spacing w:after="0" w:line="240" w:lineRule="auto"/>
                    <w:rPr>
                      <w:rFonts w:eastAsia="Times New Roman"/>
                      <w:sz w:val="24"/>
                      <w:szCs w:val="24"/>
                    </w:rPr>
                  </w:pPr>
                  <w:r w:rsidRPr="007670DC">
                    <w:rPr>
                      <w:rFonts w:hAnsi="Calibri"/>
                      <w:color w:val="000000" w:themeColor="text1"/>
                      <w:kern w:val="24"/>
                      <w:sz w:val="24"/>
                      <w:szCs w:val="24"/>
                    </w:rPr>
                    <w:t>BPH/BPE</w:t>
                  </w:r>
                  <w:r w:rsidRPr="007670DC">
                    <w:rPr>
                      <w:rFonts w:hAnsi="Calibri"/>
                      <w:color w:val="000000" w:themeColor="text1"/>
                      <w:kern w:val="24"/>
                      <w:sz w:val="24"/>
                      <w:szCs w:val="24"/>
                    </w:rPr>
                    <w:tab/>
                    <w:t xml:space="preserve">                62</w:t>
                  </w:r>
                  <w:r w:rsidRPr="007670DC">
                    <w:rPr>
                      <w:rFonts w:hAnsi="Calibri"/>
                      <w:color w:val="000000" w:themeColor="text1"/>
                      <w:kern w:val="24"/>
                      <w:sz w:val="24"/>
                      <w:szCs w:val="24"/>
                    </w:rPr>
                    <w:tab/>
                    <w:t xml:space="preserve">       59</w:t>
                  </w:r>
                  <w:r w:rsidRPr="007670DC">
                    <w:rPr>
                      <w:rFonts w:hAnsi="Calibri"/>
                      <w:color w:val="000000" w:themeColor="text1"/>
                      <w:kern w:val="24"/>
                      <w:sz w:val="24"/>
                      <w:szCs w:val="24"/>
                    </w:rPr>
                    <w:tab/>
                    <w:t xml:space="preserve">          68  </w:t>
                  </w:r>
                  <w:r w:rsidRPr="007670DC">
                    <w:rPr>
                      <w:rFonts w:hAnsi="Calibri"/>
                      <w:color w:val="000000" w:themeColor="text1"/>
                      <w:kern w:val="24"/>
                      <w:sz w:val="24"/>
                      <w:szCs w:val="24"/>
                    </w:rPr>
                    <w:tab/>
                    <w:t xml:space="preserve">   60</w:t>
                  </w:r>
                </w:p>
                <w:p w:rsidR="002715FC" w:rsidRPr="007670DC" w:rsidRDefault="002715FC" w:rsidP="00386012">
                  <w:pPr>
                    <w:pStyle w:val="ListParagraph"/>
                    <w:numPr>
                      <w:ilvl w:val="0"/>
                      <w:numId w:val="6"/>
                    </w:numPr>
                    <w:spacing w:after="0" w:line="240" w:lineRule="auto"/>
                    <w:rPr>
                      <w:rFonts w:eastAsia="Times New Roman"/>
                      <w:sz w:val="24"/>
                      <w:szCs w:val="24"/>
                    </w:rPr>
                  </w:pPr>
                  <w:r w:rsidRPr="007670DC">
                    <w:rPr>
                      <w:rFonts w:hAnsi="Calibri"/>
                      <w:color w:val="000000" w:themeColor="text1"/>
                      <w:kern w:val="24"/>
                      <w:sz w:val="24"/>
                      <w:szCs w:val="24"/>
                    </w:rPr>
                    <w:t xml:space="preserve">IPSS </w:t>
                  </w:r>
                  <w:r w:rsidRPr="007670DC">
                    <w:rPr>
                      <w:rFonts w:hAnsi="Calibri" w:cs="Arial"/>
                      <w:color w:val="000000" w:themeColor="text1"/>
                      <w:kern w:val="24"/>
                      <w:sz w:val="24"/>
                      <w:szCs w:val="24"/>
                    </w:rPr>
                    <w:t>≥ 8</w:t>
                  </w:r>
                  <w:r w:rsidRPr="007670DC">
                    <w:rPr>
                      <w:rFonts w:hAnsi="Calibri" w:cs="Arial"/>
                      <w:color w:val="000000" w:themeColor="text1"/>
                      <w:kern w:val="24"/>
                      <w:sz w:val="24"/>
                      <w:szCs w:val="24"/>
                    </w:rPr>
                    <w:tab/>
                    <w:t xml:space="preserve">                20</w:t>
                  </w:r>
                  <w:r w:rsidRPr="007670DC">
                    <w:rPr>
                      <w:rFonts w:hAnsi="Calibri" w:cs="Arial"/>
                      <w:color w:val="000000" w:themeColor="text1"/>
                      <w:kern w:val="24"/>
                      <w:sz w:val="24"/>
                      <w:szCs w:val="24"/>
                    </w:rPr>
                    <w:tab/>
                    <w:t xml:space="preserve">       15            23               35</w:t>
                  </w:r>
                </w:p>
                <w:p w:rsidR="002715FC" w:rsidRPr="007670DC" w:rsidRDefault="002715FC" w:rsidP="00386012">
                  <w:pPr>
                    <w:pStyle w:val="ListParagraph"/>
                    <w:numPr>
                      <w:ilvl w:val="0"/>
                      <w:numId w:val="6"/>
                    </w:numPr>
                    <w:spacing w:after="0" w:line="240" w:lineRule="auto"/>
                    <w:rPr>
                      <w:rFonts w:eastAsia="Times New Roman"/>
                      <w:sz w:val="24"/>
                      <w:szCs w:val="24"/>
                    </w:rPr>
                  </w:pPr>
                  <w:r w:rsidRPr="007670DC">
                    <w:rPr>
                      <w:rFonts w:hAnsi="Calibri" w:cs="Arial"/>
                      <w:color w:val="000000" w:themeColor="text1"/>
                      <w:kern w:val="24"/>
                      <w:sz w:val="24"/>
                      <w:szCs w:val="24"/>
                    </w:rPr>
                    <w:t xml:space="preserve">PSA ≥ 1.5ng/ml          </w:t>
                  </w:r>
                  <w:r>
                    <w:rPr>
                      <w:rFonts w:hAnsi="Calibri" w:cs="Arial"/>
                      <w:color w:val="000000" w:themeColor="text1"/>
                      <w:kern w:val="24"/>
                      <w:sz w:val="24"/>
                      <w:szCs w:val="24"/>
                    </w:rPr>
                    <w:t xml:space="preserve">     </w:t>
                  </w:r>
                  <w:r w:rsidRPr="007670DC">
                    <w:rPr>
                      <w:rFonts w:hAnsi="Calibri" w:cs="Arial"/>
                      <w:color w:val="000000" w:themeColor="text1"/>
                      <w:kern w:val="24"/>
                      <w:sz w:val="24"/>
                      <w:szCs w:val="24"/>
                    </w:rPr>
                    <w:t xml:space="preserve">36             </w:t>
                  </w:r>
                  <w:r>
                    <w:rPr>
                      <w:rFonts w:hAnsi="Calibri" w:cs="Arial"/>
                      <w:color w:val="000000" w:themeColor="text1"/>
                      <w:kern w:val="24"/>
                      <w:sz w:val="24"/>
                      <w:szCs w:val="24"/>
                    </w:rPr>
                    <w:t xml:space="preserve">25            43               </w:t>
                  </w:r>
                  <w:r w:rsidRPr="007670DC">
                    <w:rPr>
                      <w:rFonts w:hAnsi="Calibri" w:cs="Arial"/>
                      <w:color w:val="000000" w:themeColor="text1"/>
                      <w:kern w:val="24"/>
                      <w:sz w:val="24"/>
                      <w:szCs w:val="24"/>
                    </w:rPr>
                    <w:t>58</w:t>
                  </w:r>
                </w:p>
                <w:p w:rsidR="002715FC" w:rsidRPr="007670DC" w:rsidRDefault="002715FC" w:rsidP="00386012">
                  <w:pPr>
                    <w:pStyle w:val="ListParagraph"/>
                    <w:numPr>
                      <w:ilvl w:val="0"/>
                      <w:numId w:val="6"/>
                    </w:numPr>
                    <w:spacing w:after="0" w:line="240" w:lineRule="auto"/>
                    <w:rPr>
                      <w:rFonts w:eastAsia="Times New Roman"/>
                      <w:sz w:val="24"/>
                      <w:szCs w:val="24"/>
                    </w:rPr>
                  </w:pPr>
                  <w:r w:rsidRPr="007670DC">
                    <w:rPr>
                      <w:rFonts w:hAnsi="Calibri" w:cs="Arial"/>
                      <w:color w:val="000000" w:themeColor="text1"/>
                      <w:kern w:val="24"/>
                      <w:sz w:val="24"/>
                      <w:szCs w:val="24"/>
                    </w:rPr>
                    <w:t>Imputed prostate</w:t>
                  </w:r>
                </w:p>
                <w:p w:rsidR="002715FC" w:rsidRDefault="002715FC" w:rsidP="00386012">
                  <w:pPr>
                    <w:pStyle w:val="NormalWeb"/>
                    <w:spacing w:before="115" w:beforeAutospacing="0" w:after="0" w:afterAutospacing="0"/>
                    <w:ind w:left="547" w:hanging="547"/>
                    <w:rPr>
                      <w:rFonts w:asciiTheme="minorHAnsi" w:hAnsi="Calibri" w:cs="Arial"/>
                      <w:color w:val="000000" w:themeColor="text1"/>
                      <w:kern w:val="24"/>
                    </w:rPr>
                  </w:pPr>
                  <w:r>
                    <w:rPr>
                      <w:rFonts w:asciiTheme="minorHAnsi" w:hAnsi="Calibri" w:cs="Arial"/>
                      <w:color w:val="000000" w:themeColor="text1"/>
                      <w:kern w:val="24"/>
                      <w:sz w:val="48"/>
                      <w:szCs w:val="48"/>
                    </w:rPr>
                    <w:tab/>
                    <w:t xml:space="preserve">  </w:t>
                  </w:r>
                  <w:r w:rsidRPr="007670DC">
                    <w:rPr>
                      <w:rFonts w:asciiTheme="minorHAnsi" w:hAnsi="Calibri" w:cs="Arial"/>
                      <w:color w:val="000000" w:themeColor="text1"/>
                      <w:kern w:val="24"/>
                    </w:rPr>
                    <w:t xml:space="preserve">vol. ≥ 30 cc                 </w:t>
                  </w:r>
                  <w:r>
                    <w:rPr>
                      <w:rFonts w:asciiTheme="minorHAnsi" w:hAnsi="Calibri" w:cs="Arial"/>
                      <w:color w:val="000000" w:themeColor="text1"/>
                      <w:kern w:val="24"/>
                    </w:rPr>
                    <w:t xml:space="preserve">     30             15            </w:t>
                  </w:r>
                  <w:r w:rsidRPr="007670DC">
                    <w:rPr>
                      <w:rFonts w:asciiTheme="minorHAnsi" w:hAnsi="Calibri" w:cs="Arial"/>
                      <w:color w:val="000000" w:themeColor="text1"/>
                      <w:kern w:val="24"/>
                    </w:rPr>
                    <w:t xml:space="preserve">41              58  </w:t>
                  </w:r>
                </w:p>
                <w:p w:rsidR="002715FC" w:rsidRPr="007670DC" w:rsidRDefault="002715FC" w:rsidP="00386012">
                  <w:pPr>
                    <w:pStyle w:val="NormalWeb"/>
                    <w:spacing w:before="115" w:beforeAutospacing="0" w:after="0" w:afterAutospacing="0"/>
                    <w:ind w:left="547" w:hanging="547"/>
                    <w:rPr>
                      <w:rFonts w:eastAsiaTheme="minorEastAsia"/>
                    </w:rPr>
                  </w:pPr>
                </w:p>
                <w:p w:rsidR="002715FC" w:rsidRPr="00620A8A" w:rsidRDefault="002715FC" w:rsidP="00386012">
                  <w:pPr>
                    <w:pStyle w:val="NormalWeb"/>
                    <w:spacing w:before="0" w:beforeAutospacing="0" w:after="0" w:afterAutospacing="0"/>
                    <w:ind w:left="547" w:hanging="547"/>
                    <w:rPr>
                      <w:rFonts w:asciiTheme="minorHAnsi" w:hAnsi="Calibri" w:cs="Arial"/>
                      <w:color w:val="000000" w:themeColor="text1"/>
                      <w:kern w:val="24"/>
                    </w:rPr>
                  </w:pPr>
                  <w:r w:rsidRPr="009C3A56">
                    <w:rPr>
                      <w:rFonts w:asciiTheme="minorHAnsi" w:hAnsi="Calibri" w:cs="Arial"/>
                      <w:color w:val="000000" w:themeColor="text1"/>
                      <w:kern w:val="24"/>
                    </w:rPr>
                    <w:t xml:space="preserve">The findings have been adjusted by 2000 WHO World health Population ages     </w:t>
                  </w:r>
                </w:p>
              </w:txbxContent>
            </v:textbox>
            <w10:wrap type="none"/>
            <w10:anchorlock/>
          </v:rect>
        </w:pict>
      </w:r>
    </w:p>
    <w:p w:rsidR="00276A2D" w:rsidRDefault="00276A2D" w:rsidP="00276A2D">
      <w:pPr>
        <w:spacing w:after="0"/>
        <w:rPr>
          <w:sz w:val="24"/>
          <w:szCs w:val="24"/>
        </w:rPr>
      </w:pPr>
    </w:p>
    <w:p w:rsidR="00593D11" w:rsidRDefault="00593D11" w:rsidP="00276A2D">
      <w:pPr>
        <w:rPr>
          <w:b/>
          <w:sz w:val="24"/>
          <w:szCs w:val="24"/>
        </w:rPr>
      </w:pPr>
    </w:p>
    <w:p w:rsidR="00593D11" w:rsidRDefault="00593D11" w:rsidP="00276A2D">
      <w:pPr>
        <w:rPr>
          <w:b/>
          <w:sz w:val="24"/>
          <w:szCs w:val="24"/>
        </w:rPr>
      </w:pPr>
    </w:p>
    <w:p w:rsidR="00276A2D" w:rsidRPr="00D750BB" w:rsidRDefault="00276A2D" w:rsidP="00276A2D">
      <w:pPr>
        <w:rPr>
          <w:sz w:val="24"/>
          <w:szCs w:val="24"/>
        </w:rPr>
      </w:pPr>
      <w:r>
        <w:rPr>
          <w:b/>
          <w:sz w:val="24"/>
          <w:szCs w:val="24"/>
        </w:rPr>
        <w:t>Table 4</w:t>
      </w:r>
      <w:r w:rsidR="002368A8">
        <w:rPr>
          <w:b/>
          <w:sz w:val="24"/>
          <w:szCs w:val="24"/>
        </w:rPr>
        <w:t>:</w:t>
      </w:r>
      <w:r w:rsidR="00A15B40">
        <w:rPr>
          <w:b/>
          <w:sz w:val="24"/>
          <w:szCs w:val="24"/>
          <w:vertAlign w:val="superscript"/>
        </w:rPr>
        <w:t xml:space="preserve"> </w:t>
      </w:r>
      <w:r>
        <w:rPr>
          <w:sz w:val="24"/>
          <w:szCs w:val="24"/>
        </w:rPr>
        <w:t xml:space="preserve">      Previous Population Based Studies, % Prevalence of BPH/LUTS</w:t>
      </w:r>
    </w:p>
    <w:tbl>
      <w:tblPr>
        <w:tblStyle w:val="LightList-Accent6"/>
        <w:tblW w:w="5000" w:type="pct"/>
        <w:tblLook w:val="0660"/>
      </w:tblPr>
      <w:tblGrid>
        <w:gridCol w:w="2394"/>
        <w:gridCol w:w="2394"/>
        <w:gridCol w:w="2394"/>
        <w:gridCol w:w="2394"/>
      </w:tblGrid>
      <w:tr w:rsidR="00276A2D" w:rsidTr="002715FC">
        <w:trPr>
          <w:cnfStyle w:val="100000000000"/>
        </w:trPr>
        <w:tc>
          <w:tcPr>
            <w:tcW w:w="1250" w:type="pct"/>
            <w:noWrap/>
          </w:tcPr>
          <w:p w:rsidR="00276A2D" w:rsidRDefault="00276A2D" w:rsidP="002715FC">
            <w:r>
              <w:t>Study/Yr</w:t>
            </w:r>
          </w:p>
        </w:tc>
        <w:tc>
          <w:tcPr>
            <w:tcW w:w="1250" w:type="pct"/>
          </w:tcPr>
          <w:p w:rsidR="00276A2D" w:rsidRDefault="00276A2D" w:rsidP="002715FC">
            <w:pPr>
              <w:ind w:left="-234" w:right="252" w:firstLine="234"/>
            </w:pPr>
            <w:r>
              <w:t>Place/Pop/Race</w:t>
            </w:r>
          </w:p>
        </w:tc>
        <w:tc>
          <w:tcPr>
            <w:tcW w:w="1250" w:type="pct"/>
          </w:tcPr>
          <w:p w:rsidR="00276A2D" w:rsidRDefault="00276A2D" w:rsidP="002715FC">
            <w:r>
              <w:t>Parameter          Overall</w:t>
            </w:r>
          </w:p>
        </w:tc>
        <w:tc>
          <w:tcPr>
            <w:tcW w:w="1250" w:type="pct"/>
          </w:tcPr>
          <w:p w:rsidR="00276A2D" w:rsidRDefault="00276A2D" w:rsidP="002715FC">
            <w:pPr>
              <w:rPr>
                <w:b w:val="0"/>
                <w:bCs w:val="0"/>
              </w:rPr>
            </w:pPr>
            <w:r>
              <w:t xml:space="preserve">  Age GPS in Years</w:t>
            </w:r>
          </w:p>
        </w:tc>
      </w:tr>
      <w:tr w:rsidR="00276A2D" w:rsidTr="002715FC">
        <w:trPr>
          <w:gridBefore w:val="3"/>
          <w:wBefore w:w="3750" w:type="pct"/>
          <w:trHeight w:val="244"/>
        </w:trPr>
        <w:tc>
          <w:tcPr>
            <w:tcW w:w="1250" w:type="pct"/>
            <w:vMerge w:val="restart"/>
            <w:tcBorders>
              <w:top w:val="nil"/>
              <w:left w:val="nil"/>
              <w:right w:val="nil"/>
            </w:tcBorders>
          </w:tcPr>
          <w:p w:rsidR="00276A2D" w:rsidRPr="009C1551" w:rsidRDefault="00276A2D" w:rsidP="002715FC">
            <w:pPr>
              <w:rPr>
                <w:b/>
                <w:sz w:val="20"/>
                <w:szCs w:val="20"/>
                <w:u w:val="single"/>
              </w:rPr>
            </w:pPr>
            <w:r w:rsidRPr="009C1551">
              <w:rPr>
                <w:b/>
                <w:sz w:val="20"/>
                <w:szCs w:val="20"/>
                <w:u w:val="single"/>
              </w:rPr>
              <w:t>50-59     60-69     &gt;70</w:t>
            </w:r>
          </w:p>
          <w:p w:rsidR="00276A2D" w:rsidRPr="009C1551" w:rsidRDefault="00276A2D" w:rsidP="002715FC">
            <w:pPr>
              <w:pStyle w:val="DecimalAligned"/>
              <w:rPr>
                <w:b/>
                <w:sz w:val="20"/>
                <w:szCs w:val="20"/>
                <w:u w:val="single"/>
              </w:rPr>
            </w:pPr>
            <w:r w:rsidRPr="009C1551">
              <w:rPr>
                <w:b/>
                <w:sz w:val="20"/>
                <w:szCs w:val="20"/>
              </w:rPr>
              <w:t xml:space="preserve">42           51        </w:t>
            </w:r>
            <w:r>
              <w:rPr>
                <w:b/>
                <w:sz w:val="20"/>
                <w:szCs w:val="20"/>
              </w:rPr>
              <w:t xml:space="preserve">  </w:t>
            </w:r>
            <w:r w:rsidRPr="009C1551">
              <w:rPr>
                <w:b/>
                <w:sz w:val="20"/>
                <w:szCs w:val="20"/>
              </w:rPr>
              <w:t>40</w:t>
            </w:r>
          </w:p>
        </w:tc>
      </w:tr>
      <w:tr w:rsidR="00276A2D" w:rsidTr="002715FC">
        <w:tc>
          <w:tcPr>
            <w:tcW w:w="1250" w:type="pct"/>
            <w:tcBorders>
              <w:left w:val="nil"/>
              <w:bottom w:val="single" w:sz="4" w:space="0" w:color="auto"/>
            </w:tcBorders>
            <w:noWrap/>
          </w:tcPr>
          <w:p w:rsidR="00276A2D" w:rsidRPr="00D327CA" w:rsidRDefault="00276A2D" w:rsidP="002715FC">
            <w:pPr>
              <w:rPr>
                <w:b/>
                <w:sz w:val="20"/>
                <w:szCs w:val="20"/>
              </w:rPr>
            </w:pPr>
            <w:r w:rsidRPr="00D327CA">
              <w:rPr>
                <w:b/>
                <w:sz w:val="20"/>
                <w:szCs w:val="20"/>
              </w:rPr>
              <w:t>Sarma et al 2003</w:t>
            </w:r>
            <w:r>
              <w:rPr>
                <w:b/>
                <w:sz w:val="20"/>
                <w:szCs w:val="20"/>
                <w:vertAlign w:val="superscript"/>
              </w:rPr>
              <w:t>40</w:t>
            </w:r>
          </w:p>
        </w:tc>
        <w:tc>
          <w:tcPr>
            <w:tcW w:w="1250" w:type="pct"/>
            <w:tcBorders>
              <w:bottom w:val="single" w:sz="4" w:space="0" w:color="auto"/>
            </w:tcBorders>
          </w:tcPr>
          <w:p w:rsidR="00276A2D" w:rsidRPr="009C1551" w:rsidRDefault="00276A2D" w:rsidP="002715FC">
            <w:pPr>
              <w:pStyle w:val="DecimalAligned"/>
              <w:ind w:left="-234" w:right="252" w:firstLine="234"/>
              <w:rPr>
                <w:b/>
                <w:sz w:val="20"/>
                <w:szCs w:val="20"/>
              </w:rPr>
            </w:pPr>
            <w:r w:rsidRPr="009C1551">
              <w:rPr>
                <w:b/>
                <w:sz w:val="20"/>
                <w:szCs w:val="20"/>
              </w:rPr>
              <w:t>USA Michigan</w:t>
            </w:r>
          </w:p>
          <w:p w:rsidR="00276A2D" w:rsidRDefault="00276A2D" w:rsidP="002715FC">
            <w:pPr>
              <w:pStyle w:val="DecimalAligned"/>
              <w:ind w:left="-234" w:right="252" w:firstLine="234"/>
              <w:rPr>
                <w:b/>
                <w:sz w:val="20"/>
                <w:szCs w:val="20"/>
              </w:rPr>
            </w:pPr>
            <w:r w:rsidRPr="009C1551">
              <w:rPr>
                <w:b/>
                <w:sz w:val="20"/>
                <w:szCs w:val="20"/>
              </w:rPr>
              <w:t>Blacks 369 men</w:t>
            </w:r>
          </w:p>
          <w:p w:rsidR="00276A2D" w:rsidRPr="00D327CA" w:rsidRDefault="00276A2D" w:rsidP="002715FC">
            <w:pPr>
              <w:pStyle w:val="DecimalAligned"/>
              <w:ind w:left="-234" w:right="252" w:firstLine="234"/>
              <w:rPr>
                <w:sz w:val="18"/>
                <w:szCs w:val="18"/>
              </w:rPr>
            </w:pPr>
          </w:p>
        </w:tc>
        <w:tc>
          <w:tcPr>
            <w:tcW w:w="1250" w:type="pct"/>
            <w:tcBorders>
              <w:top w:val="nil"/>
              <w:bottom w:val="single" w:sz="4" w:space="0" w:color="auto"/>
            </w:tcBorders>
          </w:tcPr>
          <w:p w:rsidR="00276A2D" w:rsidRPr="009C1551" w:rsidRDefault="00276A2D" w:rsidP="002715FC">
            <w:pPr>
              <w:pStyle w:val="DecimalAligned"/>
              <w:rPr>
                <w:b/>
                <w:sz w:val="20"/>
                <w:szCs w:val="20"/>
              </w:rPr>
            </w:pPr>
            <w:r>
              <w:rPr>
                <w:b/>
                <w:sz w:val="20"/>
                <w:szCs w:val="20"/>
              </w:rPr>
              <w:t xml:space="preserve">IPSS ≥8                      </w:t>
            </w:r>
            <w:r w:rsidRPr="009C1551">
              <w:rPr>
                <w:b/>
                <w:sz w:val="20"/>
                <w:szCs w:val="20"/>
              </w:rPr>
              <w:t>45</w:t>
            </w:r>
          </w:p>
        </w:tc>
        <w:tc>
          <w:tcPr>
            <w:tcW w:w="1250" w:type="pct"/>
            <w:vMerge/>
            <w:tcBorders>
              <w:bottom w:val="single" w:sz="4" w:space="0" w:color="auto"/>
              <w:right w:val="nil"/>
            </w:tcBorders>
          </w:tcPr>
          <w:p w:rsidR="00276A2D" w:rsidRPr="009C1551" w:rsidRDefault="00276A2D" w:rsidP="002715FC">
            <w:pPr>
              <w:pStyle w:val="DecimalAligned"/>
              <w:rPr>
                <w:b/>
                <w:sz w:val="20"/>
                <w:szCs w:val="20"/>
              </w:rPr>
            </w:pPr>
          </w:p>
        </w:tc>
      </w:tr>
      <w:tr w:rsidR="00276A2D" w:rsidTr="002715FC">
        <w:trPr>
          <w:trHeight w:val="225"/>
        </w:trPr>
        <w:tc>
          <w:tcPr>
            <w:tcW w:w="1250" w:type="pct"/>
            <w:tcBorders>
              <w:top w:val="single" w:sz="4" w:space="0" w:color="auto"/>
              <w:left w:val="nil"/>
              <w:bottom w:val="single" w:sz="4" w:space="0" w:color="auto"/>
            </w:tcBorders>
            <w:noWrap/>
          </w:tcPr>
          <w:p w:rsidR="00276A2D" w:rsidRPr="00D327CA" w:rsidRDefault="00276A2D" w:rsidP="002715FC">
            <w:pPr>
              <w:rPr>
                <w:sz w:val="20"/>
                <w:szCs w:val="20"/>
              </w:rPr>
            </w:pPr>
            <w:r w:rsidRPr="00FB3090">
              <w:rPr>
                <w:rFonts w:cs="Arial"/>
                <w:b/>
                <w:bCs/>
                <w:color w:val="000000" w:themeColor="text1"/>
                <w:kern w:val="24"/>
                <w:sz w:val="20"/>
                <w:szCs w:val="20"/>
              </w:rPr>
              <w:t>Guess et al 1990</w:t>
            </w:r>
            <w:r>
              <w:rPr>
                <w:rFonts w:cs="Arial"/>
                <w:b/>
                <w:bCs/>
                <w:color w:val="000000" w:themeColor="text1"/>
                <w:kern w:val="24"/>
                <w:sz w:val="20"/>
                <w:szCs w:val="20"/>
                <w:vertAlign w:val="superscript"/>
              </w:rPr>
              <w:t>36</w:t>
            </w:r>
          </w:p>
        </w:tc>
        <w:tc>
          <w:tcPr>
            <w:tcW w:w="1250" w:type="pct"/>
            <w:tcBorders>
              <w:top w:val="single" w:sz="4" w:space="0" w:color="auto"/>
              <w:bottom w:val="single" w:sz="4" w:space="0" w:color="auto"/>
            </w:tcBorders>
          </w:tcPr>
          <w:p w:rsidR="00276A2D" w:rsidRDefault="00276A2D" w:rsidP="002715FC">
            <w:pPr>
              <w:pStyle w:val="DecimalAligned"/>
              <w:ind w:left="-234" w:right="252" w:firstLine="234"/>
              <w:rPr>
                <w:rFonts w:cs="Arial"/>
                <w:b/>
                <w:bCs/>
                <w:color w:val="000000" w:themeColor="text1"/>
                <w:kern w:val="24"/>
                <w:sz w:val="20"/>
                <w:szCs w:val="20"/>
              </w:rPr>
            </w:pPr>
            <w:r>
              <w:rPr>
                <w:rFonts w:cs="Arial"/>
                <w:b/>
                <w:bCs/>
                <w:color w:val="000000" w:themeColor="text1"/>
                <w:kern w:val="24"/>
                <w:sz w:val="20"/>
                <w:szCs w:val="20"/>
              </w:rPr>
              <w:t xml:space="preserve">Baltimore USA </w:t>
            </w:r>
            <w:r w:rsidRPr="00FB3090">
              <w:rPr>
                <w:rFonts w:cs="Arial"/>
                <w:b/>
                <w:bCs/>
                <w:color w:val="000000" w:themeColor="text1"/>
                <w:kern w:val="24"/>
                <w:sz w:val="20"/>
                <w:szCs w:val="20"/>
              </w:rPr>
              <w:t xml:space="preserve"> all </w:t>
            </w:r>
          </w:p>
          <w:p w:rsidR="00276A2D" w:rsidRDefault="00276A2D" w:rsidP="002715FC">
            <w:pPr>
              <w:pStyle w:val="DecimalAligned"/>
              <w:ind w:left="-234" w:right="252" w:firstLine="234"/>
              <w:rPr>
                <w:rFonts w:cs="Arial"/>
                <w:b/>
                <w:bCs/>
                <w:color w:val="000000" w:themeColor="text1"/>
                <w:kern w:val="24"/>
                <w:sz w:val="20"/>
                <w:szCs w:val="20"/>
              </w:rPr>
            </w:pPr>
            <w:r>
              <w:rPr>
                <w:rFonts w:cs="Arial"/>
                <w:b/>
                <w:bCs/>
                <w:color w:val="000000" w:themeColor="text1"/>
                <w:kern w:val="24"/>
                <w:sz w:val="20"/>
                <w:szCs w:val="20"/>
              </w:rPr>
              <w:t>Races 1057</w:t>
            </w:r>
            <w:r w:rsidRPr="00FB3090">
              <w:rPr>
                <w:rFonts w:cs="Arial"/>
                <w:b/>
                <w:bCs/>
                <w:color w:val="000000" w:themeColor="text1"/>
                <w:kern w:val="24"/>
                <w:sz w:val="20"/>
                <w:szCs w:val="20"/>
              </w:rPr>
              <w:t xml:space="preserve"> men</w:t>
            </w:r>
          </w:p>
          <w:p w:rsidR="00276A2D" w:rsidRPr="00D327CA" w:rsidRDefault="00276A2D" w:rsidP="002715FC">
            <w:pPr>
              <w:pStyle w:val="DecimalAligned"/>
              <w:ind w:left="-234" w:right="252" w:firstLine="234"/>
              <w:rPr>
                <w:sz w:val="18"/>
                <w:szCs w:val="18"/>
              </w:rPr>
            </w:pPr>
          </w:p>
        </w:tc>
        <w:tc>
          <w:tcPr>
            <w:tcW w:w="1250" w:type="pct"/>
            <w:tcBorders>
              <w:top w:val="single" w:sz="4" w:space="0" w:color="auto"/>
              <w:bottom w:val="single" w:sz="4" w:space="0" w:color="auto"/>
            </w:tcBorders>
          </w:tcPr>
          <w:p w:rsidR="00276A2D" w:rsidRPr="009C1551" w:rsidRDefault="00276A2D" w:rsidP="002715FC">
            <w:pPr>
              <w:pStyle w:val="DecimalAligned"/>
              <w:rPr>
                <w:b/>
                <w:sz w:val="18"/>
                <w:szCs w:val="18"/>
              </w:rPr>
            </w:pPr>
            <w:r w:rsidRPr="00FB3090">
              <w:rPr>
                <w:rFonts w:cs="Arial"/>
                <w:b/>
                <w:bCs/>
                <w:color w:val="000000" w:themeColor="text1"/>
                <w:kern w:val="24"/>
                <w:sz w:val="20"/>
                <w:szCs w:val="20"/>
              </w:rPr>
              <w:t>DRE/BPE</w:t>
            </w:r>
            <w:r>
              <w:rPr>
                <w:rFonts w:cs="Arial"/>
                <w:b/>
                <w:bCs/>
                <w:color w:val="000000" w:themeColor="text1"/>
                <w:kern w:val="24"/>
                <w:sz w:val="20"/>
                <w:szCs w:val="20"/>
              </w:rPr>
              <w:t xml:space="preserve">                   </w:t>
            </w:r>
            <w:r w:rsidRPr="00FB3090">
              <w:rPr>
                <w:rFonts w:cs="Arial"/>
                <w:b/>
                <w:bCs/>
                <w:color w:val="000000" w:themeColor="text1"/>
                <w:kern w:val="24"/>
                <w:sz w:val="20"/>
                <w:szCs w:val="20"/>
              </w:rPr>
              <w:t>36</w:t>
            </w:r>
          </w:p>
        </w:tc>
        <w:tc>
          <w:tcPr>
            <w:tcW w:w="1250" w:type="pct"/>
            <w:tcBorders>
              <w:top w:val="single" w:sz="4" w:space="0" w:color="auto"/>
              <w:bottom w:val="single" w:sz="4" w:space="0" w:color="auto"/>
              <w:right w:val="nil"/>
            </w:tcBorders>
          </w:tcPr>
          <w:p w:rsidR="00276A2D" w:rsidRPr="009C1551" w:rsidRDefault="00276A2D" w:rsidP="002715FC">
            <w:pPr>
              <w:pStyle w:val="DecimalAligned"/>
              <w:rPr>
                <w:b/>
                <w:sz w:val="20"/>
                <w:szCs w:val="20"/>
              </w:rPr>
            </w:pPr>
            <w:r w:rsidRPr="009C1551">
              <w:rPr>
                <w:b/>
                <w:sz w:val="20"/>
                <w:szCs w:val="20"/>
              </w:rPr>
              <w:t>27           45          52</w:t>
            </w:r>
          </w:p>
        </w:tc>
      </w:tr>
      <w:tr w:rsidR="00276A2D" w:rsidTr="002715FC">
        <w:trPr>
          <w:trHeight w:val="15"/>
        </w:trPr>
        <w:tc>
          <w:tcPr>
            <w:tcW w:w="1250" w:type="pct"/>
            <w:tcBorders>
              <w:top w:val="single" w:sz="4" w:space="0" w:color="auto"/>
              <w:left w:val="nil"/>
            </w:tcBorders>
            <w:noWrap/>
          </w:tcPr>
          <w:p w:rsidR="00276A2D" w:rsidRPr="00D327CA" w:rsidRDefault="00276A2D" w:rsidP="002715FC">
            <w:pPr>
              <w:rPr>
                <w:sz w:val="20"/>
                <w:szCs w:val="20"/>
              </w:rPr>
            </w:pPr>
          </w:p>
        </w:tc>
        <w:tc>
          <w:tcPr>
            <w:tcW w:w="1250" w:type="pct"/>
            <w:tcBorders>
              <w:top w:val="single" w:sz="4" w:space="0" w:color="auto"/>
            </w:tcBorders>
          </w:tcPr>
          <w:p w:rsidR="00276A2D" w:rsidRPr="00D327CA" w:rsidRDefault="00276A2D" w:rsidP="002715FC">
            <w:pPr>
              <w:pStyle w:val="DecimalAligned"/>
              <w:ind w:left="-234" w:right="252" w:firstLine="234"/>
              <w:rPr>
                <w:sz w:val="18"/>
                <w:szCs w:val="18"/>
              </w:rPr>
            </w:pPr>
          </w:p>
        </w:tc>
        <w:tc>
          <w:tcPr>
            <w:tcW w:w="1250" w:type="pct"/>
            <w:tcBorders>
              <w:top w:val="single" w:sz="4" w:space="0" w:color="auto"/>
            </w:tcBorders>
          </w:tcPr>
          <w:p w:rsidR="00276A2D" w:rsidRPr="00D327CA" w:rsidRDefault="00276A2D" w:rsidP="002715FC">
            <w:pPr>
              <w:pStyle w:val="DecimalAligned"/>
              <w:rPr>
                <w:sz w:val="18"/>
                <w:szCs w:val="18"/>
              </w:rPr>
            </w:pPr>
          </w:p>
        </w:tc>
        <w:tc>
          <w:tcPr>
            <w:tcW w:w="1250" w:type="pct"/>
            <w:vMerge w:val="restart"/>
            <w:tcBorders>
              <w:top w:val="single" w:sz="4" w:space="0" w:color="auto"/>
              <w:right w:val="nil"/>
            </w:tcBorders>
          </w:tcPr>
          <w:p w:rsidR="00276A2D" w:rsidRDefault="00276A2D" w:rsidP="002715FC">
            <w:pPr>
              <w:pStyle w:val="DecimalAligned"/>
              <w:rPr>
                <w:b/>
                <w:sz w:val="20"/>
                <w:szCs w:val="20"/>
              </w:rPr>
            </w:pPr>
          </w:p>
          <w:p w:rsidR="00276A2D" w:rsidRDefault="00276A2D" w:rsidP="002715FC">
            <w:pPr>
              <w:pStyle w:val="DecimalAligned"/>
              <w:rPr>
                <w:b/>
                <w:sz w:val="20"/>
                <w:szCs w:val="20"/>
              </w:rPr>
            </w:pPr>
            <w:r>
              <w:rPr>
                <w:b/>
                <w:sz w:val="20"/>
                <w:szCs w:val="20"/>
              </w:rPr>
              <w:t>29           38          41</w:t>
            </w:r>
          </w:p>
          <w:p w:rsidR="00276A2D" w:rsidRPr="00D327CA" w:rsidRDefault="00276A2D" w:rsidP="002715FC">
            <w:pPr>
              <w:pStyle w:val="DecimalAligned"/>
              <w:rPr>
                <w:sz w:val="18"/>
                <w:szCs w:val="18"/>
              </w:rPr>
            </w:pPr>
          </w:p>
        </w:tc>
      </w:tr>
      <w:tr w:rsidR="00276A2D" w:rsidTr="002715FC">
        <w:tc>
          <w:tcPr>
            <w:tcW w:w="1250" w:type="pct"/>
            <w:tcBorders>
              <w:left w:val="nil"/>
              <w:bottom w:val="single" w:sz="4" w:space="0" w:color="auto"/>
            </w:tcBorders>
            <w:noWrap/>
          </w:tcPr>
          <w:p w:rsidR="00276A2D" w:rsidRPr="00D327CA" w:rsidRDefault="00276A2D" w:rsidP="002715FC">
            <w:pPr>
              <w:rPr>
                <w:sz w:val="20"/>
                <w:szCs w:val="20"/>
              </w:rPr>
            </w:pPr>
            <w:r w:rsidRPr="00FB3090">
              <w:rPr>
                <w:rFonts w:cs="Arial"/>
                <w:b/>
                <w:bCs/>
                <w:color w:val="000000" w:themeColor="text1"/>
                <w:kern w:val="24"/>
                <w:sz w:val="20"/>
                <w:szCs w:val="20"/>
              </w:rPr>
              <w:t>Truemann et al 1999</w:t>
            </w:r>
          </w:p>
        </w:tc>
        <w:tc>
          <w:tcPr>
            <w:tcW w:w="1250" w:type="pct"/>
            <w:tcBorders>
              <w:bottom w:val="single" w:sz="4" w:space="0" w:color="auto"/>
            </w:tcBorders>
          </w:tcPr>
          <w:p w:rsidR="00276A2D" w:rsidRPr="009C1551" w:rsidRDefault="00276A2D" w:rsidP="002715FC">
            <w:pPr>
              <w:pStyle w:val="DecimalAligned"/>
              <w:ind w:left="-234" w:right="252" w:firstLine="234"/>
              <w:rPr>
                <w:b/>
                <w:sz w:val="20"/>
                <w:szCs w:val="20"/>
              </w:rPr>
            </w:pPr>
            <w:r>
              <w:rPr>
                <w:b/>
                <w:sz w:val="20"/>
                <w:szCs w:val="20"/>
              </w:rPr>
              <w:t>UK 1115 men</w:t>
            </w:r>
          </w:p>
        </w:tc>
        <w:tc>
          <w:tcPr>
            <w:tcW w:w="1250" w:type="pct"/>
            <w:tcBorders>
              <w:bottom w:val="single" w:sz="4" w:space="0" w:color="auto"/>
            </w:tcBorders>
          </w:tcPr>
          <w:p w:rsidR="00276A2D" w:rsidRPr="009C1551" w:rsidRDefault="00276A2D" w:rsidP="002715FC">
            <w:pPr>
              <w:pStyle w:val="DecimalAligned"/>
              <w:rPr>
                <w:b/>
                <w:sz w:val="20"/>
                <w:szCs w:val="20"/>
              </w:rPr>
            </w:pPr>
            <w:r>
              <w:rPr>
                <w:b/>
                <w:sz w:val="20"/>
                <w:szCs w:val="20"/>
              </w:rPr>
              <w:t>IPSS ≥8                      37</w:t>
            </w:r>
          </w:p>
        </w:tc>
        <w:tc>
          <w:tcPr>
            <w:tcW w:w="1250" w:type="pct"/>
            <w:vMerge/>
            <w:tcBorders>
              <w:bottom w:val="single" w:sz="4" w:space="0" w:color="auto"/>
              <w:right w:val="nil"/>
            </w:tcBorders>
          </w:tcPr>
          <w:p w:rsidR="00276A2D" w:rsidRPr="009C1551" w:rsidRDefault="00276A2D" w:rsidP="002715FC">
            <w:pPr>
              <w:pStyle w:val="DecimalAligned"/>
              <w:rPr>
                <w:b/>
                <w:sz w:val="20"/>
                <w:szCs w:val="20"/>
              </w:rPr>
            </w:pPr>
          </w:p>
        </w:tc>
      </w:tr>
      <w:tr w:rsidR="00276A2D" w:rsidTr="002715FC">
        <w:tc>
          <w:tcPr>
            <w:tcW w:w="1250" w:type="pct"/>
            <w:tcBorders>
              <w:left w:val="nil"/>
              <w:bottom w:val="single" w:sz="4" w:space="0" w:color="auto"/>
            </w:tcBorders>
            <w:noWrap/>
          </w:tcPr>
          <w:p w:rsidR="00276A2D" w:rsidRPr="00FB3090" w:rsidRDefault="00276A2D" w:rsidP="002715FC">
            <w:pPr>
              <w:rPr>
                <w:rFonts w:cs="Arial"/>
                <w:b/>
                <w:bCs/>
                <w:color w:val="000000" w:themeColor="text1"/>
                <w:kern w:val="24"/>
                <w:sz w:val="20"/>
                <w:szCs w:val="20"/>
              </w:rPr>
            </w:pPr>
            <w:r w:rsidRPr="00FB3090">
              <w:rPr>
                <w:rFonts w:cs="Arial"/>
                <w:b/>
                <w:bCs/>
                <w:color w:val="000000" w:themeColor="text1"/>
                <w:kern w:val="24"/>
                <w:sz w:val="20"/>
                <w:szCs w:val="20"/>
              </w:rPr>
              <w:t>Rosen et al  2003</w:t>
            </w:r>
          </w:p>
        </w:tc>
        <w:tc>
          <w:tcPr>
            <w:tcW w:w="1250" w:type="pct"/>
            <w:tcBorders>
              <w:bottom w:val="single" w:sz="4" w:space="0" w:color="auto"/>
            </w:tcBorders>
          </w:tcPr>
          <w:p w:rsidR="00276A2D" w:rsidRDefault="00276A2D" w:rsidP="002715FC">
            <w:pPr>
              <w:pStyle w:val="DecimalAligned"/>
              <w:ind w:left="-234" w:right="252" w:firstLine="234"/>
              <w:rPr>
                <w:rFonts w:cs="Arial"/>
                <w:b/>
                <w:bCs/>
                <w:color w:val="000000" w:themeColor="text1"/>
                <w:kern w:val="24"/>
                <w:sz w:val="20"/>
                <w:szCs w:val="20"/>
              </w:rPr>
            </w:pPr>
            <w:r w:rsidRPr="00FB3090">
              <w:rPr>
                <w:rFonts w:cs="Arial"/>
                <w:b/>
                <w:bCs/>
                <w:color w:val="000000" w:themeColor="text1"/>
                <w:kern w:val="24"/>
                <w:sz w:val="20"/>
                <w:szCs w:val="20"/>
              </w:rPr>
              <w:t xml:space="preserve">Multinational Europe </w:t>
            </w:r>
          </w:p>
          <w:p w:rsidR="00276A2D" w:rsidRPr="009C1551" w:rsidRDefault="00276A2D" w:rsidP="002715FC">
            <w:pPr>
              <w:pStyle w:val="DecimalAligned"/>
              <w:ind w:left="-234" w:right="252" w:firstLine="234"/>
              <w:rPr>
                <w:b/>
                <w:sz w:val="20"/>
                <w:szCs w:val="20"/>
              </w:rPr>
            </w:pPr>
            <w:r>
              <w:rPr>
                <w:rFonts w:cs="Arial"/>
                <w:b/>
                <w:bCs/>
                <w:color w:val="000000" w:themeColor="text1"/>
                <w:kern w:val="24"/>
                <w:sz w:val="20"/>
                <w:szCs w:val="20"/>
              </w:rPr>
              <w:t xml:space="preserve">USA </w:t>
            </w:r>
            <w:r w:rsidRPr="00FB3090">
              <w:rPr>
                <w:rFonts w:cs="Arial"/>
                <w:b/>
                <w:bCs/>
                <w:color w:val="000000" w:themeColor="text1"/>
                <w:kern w:val="24"/>
                <w:sz w:val="20"/>
                <w:szCs w:val="20"/>
              </w:rPr>
              <w:t>12,815 men</w:t>
            </w:r>
          </w:p>
        </w:tc>
        <w:tc>
          <w:tcPr>
            <w:tcW w:w="1250" w:type="pct"/>
            <w:tcBorders>
              <w:bottom w:val="single" w:sz="4" w:space="0" w:color="auto"/>
            </w:tcBorders>
          </w:tcPr>
          <w:p w:rsidR="00276A2D" w:rsidRPr="009C1551" w:rsidRDefault="00276A2D" w:rsidP="002715FC">
            <w:pPr>
              <w:pStyle w:val="DecimalAligned"/>
              <w:rPr>
                <w:b/>
                <w:sz w:val="20"/>
                <w:szCs w:val="20"/>
              </w:rPr>
            </w:pPr>
            <w:r>
              <w:rPr>
                <w:b/>
                <w:sz w:val="20"/>
                <w:szCs w:val="20"/>
              </w:rPr>
              <w:t>IPSS ≥8                      29</w:t>
            </w:r>
          </w:p>
        </w:tc>
        <w:tc>
          <w:tcPr>
            <w:tcW w:w="1250" w:type="pct"/>
            <w:tcBorders>
              <w:bottom w:val="single" w:sz="4" w:space="0" w:color="auto"/>
              <w:right w:val="nil"/>
            </w:tcBorders>
          </w:tcPr>
          <w:p w:rsidR="00276A2D" w:rsidRPr="009C1551" w:rsidRDefault="00276A2D" w:rsidP="002715FC">
            <w:pPr>
              <w:pStyle w:val="DecimalAligned"/>
              <w:rPr>
                <w:b/>
                <w:sz w:val="20"/>
                <w:szCs w:val="20"/>
              </w:rPr>
            </w:pPr>
            <w:r>
              <w:rPr>
                <w:b/>
                <w:sz w:val="20"/>
                <w:szCs w:val="20"/>
              </w:rPr>
              <w:t>22           33          45</w:t>
            </w:r>
          </w:p>
        </w:tc>
      </w:tr>
      <w:tr w:rsidR="00276A2D" w:rsidTr="002715FC">
        <w:trPr>
          <w:trHeight w:val="225"/>
        </w:trPr>
        <w:tc>
          <w:tcPr>
            <w:tcW w:w="1250" w:type="pct"/>
            <w:tcBorders>
              <w:top w:val="single" w:sz="4" w:space="0" w:color="auto"/>
              <w:left w:val="nil"/>
              <w:bottom w:val="single" w:sz="4" w:space="0" w:color="auto"/>
            </w:tcBorders>
            <w:noWrap/>
          </w:tcPr>
          <w:p w:rsidR="00276A2D" w:rsidRPr="00D327CA" w:rsidRDefault="00276A2D" w:rsidP="002715FC">
            <w:pPr>
              <w:rPr>
                <w:sz w:val="20"/>
                <w:szCs w:val="20"/>
              </w:rPr>
            </w:pPr>
            <w:r w:rsidRPr="00FB3090">
              <w:rPr>
                <w:rFonts w:cs="Arial"/>
                <w:b/>
                <w:bCs/>
                <w:color w:val="000000" w:themeColor="text1"/>
                <w:kern w:val="24"/>
                <w:sz w:val="20"/>
                <w:szCs w:val="20"/>
              </w:rPr>
              <w:t>Nashlund et al 2007</w:t>
            </w:r>
          </w:p>
        </w:tc>
        <w:tc>
          <w:tcPr>
            <w:tcW w:w="1250" w:type="pct"/>
            <w:tcBorders>
              <w:top w:val="single" w:sz="4" w:space="0" w:color="auto"/>
              <w:bottom w:val="single" w:sz="4" w:space="0" w:color="auto"/>
            </w:tcBorders>
          </w:tcPr>
          <w:p w:rsidR="00276A2D" w:rsidRPr="009C1551" w:rsidRDefault="00276A2D" w:rsidP="002715FC">
            <w:pPr>
              <w:pStyle w:val="DecimalAligned"/>
              <w:ind w:left="-234" w:right="252" w:firstLine="234"/>
              <w:rPr>
                <w:b/>
                <w:sz w:val="20"/>
                <w:szCs w:val="20"/>
              </w:rPr>
            </w:pPr>
            <w:r w:rsidRPr="00FB3090">
              <w:rPr>
                <w:rFonts w:cs="Arial"/>
                <w:b/>
                <w:bCs/>
                <w:color w:val="000000" w:themeColor="text1"/>
                <w:kern w:val="24"/>
                <w:sz w:val="20"/>
                <w:szCs w:val="20"/>
              </w:rPr>
              <w:t>USA all races                  444 men</w:t>
            </w:r>
          </w:p>
        </w:tc>
        <w:tc>
          <w:tcPr>
            <w:tcW w:w="1250" w:type="pct"/>
            <w:tcBorders>
              <w:top w:val="single" w:sz="4" w:space="0" w:color="auto"/>
              <w:bottom w:val="single" w:sz="4" w:space="0" w:color="auto"/>
            </w:tcBorders>
          </w:tcPr>
          <w:p w:rsidR="00276A2D" w:rsidRDefault="00276A2D" w:rsidP="002715FC">
            <w:pPr>
              <w:pStyle w:val="DecimalAligned"/>
              <w:rPr>
                <w:b/>
                <w:sz w:val="20"/>
                <w:szCs w:val="20"/>
              </w:rPr>
            </w:pPr>
            <w:r>
              <w:rPr>
                <w:b/>
                <w:sz w:val="20"/>
                <w:szCs w:val="20"/>
              </w:rPr>
              <w:t>IPSS ≥8                      41</w:t>
            </w:r>
          </w:p>
          <w:p w:rsidR="00276A2D" w:rsidRPr="00A86CAD" w:rsidRDefault="00276A2D" w:rsidP="002715FC">
            <w:pPr>
              <w:pStyle w:val="NormalWeb"/>
              <w:spacing w:before="58" w:beforeAutospacing="0" w:after="0" w:afterAutospacing="0"/>
              <w:textAlignment w:val="baseline"/>
              <w:rPr>
                <w:rFonts w:asciiTheme="minorHAnsi" w:hAnsiTheme="minorHAnsi" w:cs="Arial"/>
                <w:color w:val="000000" w:themeColor="text1"/>
                <w:sz w:val="20"/>
                <w:szCs w:val="20"/>
              </w:rPr>
            </w:pPr>
            <w:r w:rsidRPr="00FB3090">
              <w:rPr>
                <w:rFonts w:asciiTheme="minorHAnsi" w:hAnsiTheme="minorHAnsi" w:cs="Arial"/>
                <w:b/>
                <w:bCs/>
                <w:color w:val="000000" w:themeColor="text1"/>
                <w:kern w:val="24"/>
                <w:sz w:val="20"/>
                <w:szCs w:val="20"/>
              </w:rPr>
              <w:t>DRE/BPE ≥ 30cc</w:t>
            </w:r>
            <w:r>
              <w:rPr>
                <w:rFonts w:asciiTheme="minorHAnsi" w:hAnsiTheme="minorHAnsi" w:cs="Arial"/>
                <w:b/>
                <w:bCs/>
                <w:color w:val="000000" w:themeColor="text1"/>
                <w:kern w:val="24"/>
                <w:sz w:val="20"/>
                <w:szCs w:val="20"/>
              </w:rPr>
              <w:t xml:space="preserve">      42                       </w:t>
            </w:r>
          </w:p>
          <w:p w:rsidR="00276A2D" w:rsidRDefault="00276A2D" w:rsidP="002715FC">
            <w:pPr>
              <w:pStyle w:val="DecimalAligned"/>
              <w:rPr>
                <w:rFonts w:cs="Arial"/>
                <w:b/>
                <w:bCs/>
                <w:color w:val="000000" w:themeColor="text1"/>
                <w:kern w:val="24"/>
                <w:sz w:val="20"/>
                <w:szCs w:val="20"/>
              </w:rPr>
            </w:pPr>
            <w:r w:rsidRPr="00FB3090">
              <w:rPr>
                <w:rFonts w:cs="Arial"/>
                <w:b/>
                <w:bCs/>
                <w:color w:val="000000" w:themeColor="text1"/>
                <w:kern w:val="24"/>
                <w:sz w:val="20"/>
                <w:szCs w:val="20"/>
              </w:rPr>
              <w:t xml:space="preserve">PSA &gt;1.5ng/ml </w:t>
            </w:r>
            <w:r>
              <w:rPr>
                <w:rFonts w:cs="Arial"/>
                <w:b/>
                <w:bCs/>
                <w:color w:val="000000" w:themeColor="text1"/>
                <w:kern w:val="24"/>
                <w:sz w:val="20"/>
                <w:szCs w:val="20"/>
              </w:rPr>
              <w:t xml:space="preserve">       36</w:t>
            </w:r>
          </w:p>
          <w:p w:rsidR="00276A2D" w:rsidRPr="009C1551" w:rsidRDefault="00276A2D" w:rsidP="002715FC">
            <w:pPr>
              <w:pStyle w:val="DecimalAligned"/>
              <w:rPr>
                <w:b/>
                <w:sz w:val="20"/>
                <w:szCs w:val="20"/>
              </w:rPr>
            </w:pPr>
            <w:r w:rsidRPr="00FB3090">
              <w:rPr>
                <w:rFonts w:cs="Arial"/>
                <w:b/>
                <w:bCs/>
                <w:color w:val="000000" w:themeColor="text1"/>
                <w:kern w:val="24"/>
                <w:sz w:val="20"/>
                <w:szCs w:val="20"/>
              </w:rPr>
              <w:t>≥ 30cc</w:t>
            </w:r>
            <w:r>
              <w:rPr>
                <w:b/>
                <w:sz w:val="20"/>
                <w:szCs w:val="20"/>
              </w:rPr>
              <w:t xml:space="preserve">            </w:t>
            </w:r>
          </w:p>
        </w:tc>
        <w:tc>
          <w:tcPr>
            <w:tcW w:w="1250" w:type="pct"/>
            <w:tcBorders>
              <w:top w:val="single" w:sz="4" w:space="0" w:color="auto"/>
              <w:bottom w:val="single" w:sz="4" w:space="0" w:color="auto"/>
              <w:right w:val="nil"/>
            </w:tcBorders>
          </w:tcPr>
          <w:p w:rsidR="00276A2D" w:rsidRDefault="00276A2D" w:rsidP="002715FC">
            <w:pPr>
              <w:pStyle w:val="DecimalAligned"/>
              <w:rPr>
                <w:b/>
                <w:sz w:val="20"/>
                <w:szCs w:val="20"/>
              </w:rPr>
            </w:pPr>
            <w:r>
              <w:rPr>
                <w:b/>
                <w:sz w:val="20"/>
                <w:szCs w:val="20"/>
              </w:rPr>
              <w:t>33            50          46</w:t>
            </w:r>
          </w:p>
          <w:p w:rsidR="00276A2D" w:rsidRDefault="00276A2D" w:rsidP="002715FC">
            <w:pPr>
              <w:pStyle w:val="DecimalAligned"/>
              <w:rPr>
                <w:b/>
                <w:sz w:val="20"/>
                <w:szCs w:val="20"/>
              </w:rPr>
            </w:pPr>
            <w:r>
              <w:rPr>
                <w:b/>
                <w:sz w:val="20"/>
                <w:szCs w:val="20"/>
              </w:rPr>
              <w:t>32            50          63</w:t>
            </w:r>
          </w:p>
          <w:p w:rsidR="00276A2D" w:rsidRPr="009C1551" w:rsidRDefault="00276A2D" w:rsidP="002715FC">
            <w:pPr>
              <w:pStyle w:val="DecimalAligned"/>
              <w:rPr>
                <w:b/>
                <w:sz w:val="20"/>
                <w:szCs w:val="20"/>
              </w:rPr>
            </w:pPr>
            <w:r>
              <w:rPr>
                <w:b/>
                <w:sz w:val="20"/>
                <w:szCs w:val="20"/>
              </w:rPr>
              <w:t>24            46          61</w:t>
            </w:r>
          </w:p>
        </w:tc>
      </w:tr>
      <w:tr w:rsidR="00276A2D" w:rsidTr="002715FC">
        <w:trPr>
          <w:cnfStyle w:val="010000000000"/>
          <w:trHeight w:val="1115"/>
        </w:trPr>
        <w:tc>
          <w:tcPr>
            <w:tcW w:w="1250" w:type="pct"/>
            <w:tcBorders>
              <w:top w:val="single" w:sz="4" w:space="0" w:color="auto"/>
              <w:left w:val="nil"/>
            </w:tcBorders>
            <w:noWrap/>
          </w:tcPr>
          <w:p w:rsidR="00276A2D" w:rsidRDefault="00276A2D" w:rsidP="002715FC">
            <w:pPr>
              <w:rPr>
                <w:rFonts w:cs="Arial"/>
                <w:bCs w:val="0"/>
                <w:color w:val="000000" w:themeColor="text1"/>
                <w:kern w:val="24"/>
                <w:sz w:val="20"/>
                <w:szCs w:val="20"/>
              </w:rPr>
            </w:pPr>
            <w:r>
              <w:rPr>
                <w:rFonts w:cs="Arial"/>
                <w:bCs w:val="0"/>
                <w:color w:val="000000" w:themeColor="text1"/>
                <w:kern w:val="24"/>
                <w:sz w:val="20"/>
                <w:szCs w:val="20"/>
              </w:rPr>
              <w:t>Chokkalingham</w:t>
            </w:r>
          </w:p>
          <w:p w:rsidR="00276A2D" w:rsidRPr="00E80C37" w:rsidRDefault="00276A2D" w:rsidP="002715FC">
            <w:pPr>
              <w:rPr>
                <w:rFonts w:cs="Arial"/>
                <w:bCs w:val="0"/>
                <w:color w:val="000000" w:themeColor="text1"/>
                <w:kern w:val="24"/>
                <w:sz w:val="20"/>
                <w:szCs w:val="20"/>
              </w:rPr>
            </w:pPr>
            <w:r w:rsidRPr="00E80C37">
              <w:rPr>
                <w:rFonts w:cs="Arial"/>
                <w:bCs w:val="0"/>
                <w:color w:val="000000" w:themeColor="text1"/>
                <w:kern w:val="24"/>
                <w:sz w:val="20"/>
                <w:szCs w:val="20"/>
              </w:rPr>
              <w:t>GPHS UGMS/NCI/</w:t>
            </w:r>
            <w:r>
              <w:rPr>
                <w:rFonts w:cs="Arial"/>
                <w:bCs w:val="0"/>
                <w:color w:val="000000" w:themeColor="text1"/>
                <w:kern w:val="24"/>
                <w:sz w:val="20"/>
                <w:szCs w:val="20"/>
              </w:rPr>
              <w:t>NIH</w:t>
            </w:r>
            <w:r w:rsidRPr="00E80C37">
              <w:rPr>
                <w:rFonts w:cs="Arial"/>
                <w:bCs w:val="0"/>
                <w:color w:val="000000" w:themeColor="text1"/>
                <w:kern w:val="24"/>
                <w:sz w:val="20"/>
                <w:szCs w:val="20"/>
              </w:rPr>
              <w:t xml:space="preserve"> </w:t>
            </w:r>
          </w:p>
          <w:p w:rsidR="00276A2D" w:rsidRPr="00D327CA" w:rsidRDefault="00276A2D" w:rsidP="002715FC">
            <w:pPr>
              <w:rPr>
                <w:sz w:val="20"/>
                <w:szCs w:val="20"/>
              </w:rPr>
            </w:pPr>
          </w:p>
        </w:tc>
        <w:tc>
          <w:tcPr>
            <w:tcW w:w="1250" w:type="pct"/>
            <w:tcBorders>
              <w:top w:val="single" w:sz="4" w:space="0" w:color="auto"/>
            </w:tcBorders>
          </w:tcPr>
          <w:p w:rsidR="00276A2D" w:rsidRPr="00E80C37" w:rsidRDefault="00276A2D" w:rsidP="002715FC">
            <w:pPr>
              <w:pStyle w:val="DecimalAligned"/>
              <w:ind w:left="-234" w:right="252" w:firstLine="234"/>
              <w:rPr>
                <w:rFonts w:cs="Arial"/>
                <w:bCs w:val="0"/>
                <w:color w:val="000000" w:themeColor="text1"/>
                <w:kern w:val="24"/>
                <w:sz w:val="20"/>
                <w:szCs w:val="20"/>
              </w:rPr>
            </w:pPr>
            <w:r w:rsidRPr="00E80C37">
              <w:rPr>
                <w:rFonts w:cs="Arial"/>
                <w:bCs w:val="0"/>
                <w:color w:val="000000" w:themeColor="text1"/>
                <w:kern w:val="24"/>
                <w:sz w:val="20"/>
                <w:szCs w:val="20"/>
              </w:rPr>
              <w:t xml:space="preserve">Ghana Africans </w:t>
            </w:r>
          </w:p>
          <w:p w:rsidR="00276A2D" w:rsidRPr="009C1551" w:rsidRDefault="00276A2D" w:rsidP="002715FC">
            <w:pPr>
              <w:pStyle w:val="DecimalAligned"/>
              <w:ind w:left="-234" w:right="252" w:firstLine="234"/>
              <w:rPr>
                <w:b w:val="0"/>
                <w:sz w:val="20"/>
                <w:szCs w:val="20"/>
              </w:rPr>
            </w:pPr>
            <w:r w:rsidRPr="00E80C37">
              <w:rPr>
                <w:rFonts w:cs="Arial"/>
                <w:bCs w:val="0"/>
                <w:color w:val="000000" w:themeColor="text1"/>
                <w:kern w:val="24"/>
                <w:sz w:val="20"/>
                <w:szCs w:val="20"/>
              </w:rPr>
              <w:t>950 men</w:t>
            </w:r>
          </w:p>
        </w:tc>
        <w:tc>
          <w:tcPr>
            <w:tcW w:w="1250" w:type="pct"/>
            <w:tcBorders>
              <w:top w:val="single" w:sz="4" w:space="0" w:color="auto"/>
            </w:tcBorders>
          </w:tcPr>
          <w:p w:rsidR="00276A2D" w:rsidRPr="00D750BB" w:rsidRDefault="00276A2D" w:rsidP="002715FC">
            <w:pPr>
              <w:pStyle w:val="DecimalAligned"/>
              <w:rPr>
                <w:sz w:val="20"/>
                <w:szCs w:val="20"/>
              </w:rPr>
            </w:pPr>
            <w:r w:rsidRPr="00D750BB">
              <w:rPr>
                <w:sz w:val="20"/>
                <w:szCs w:val="20"/>
              </w:rPr>
              <w:t>IPSS ≥8                     20</w:t>
            </w:r>
          </w:p>
          <w:p w:rsidR="00276A2D" w:rsidRPr="00D750BB" w:rsidRDefault="00276A2D" w:rsidP="002715FC">
            <w:pPr>
              <w:pStyle w:val="NormalWeb"/>
              <w:spacing w:before="58" w:beforeAutospacing="0" w:after="0" w:afterAutospacing="0"/>
              <w:textAlignment w:val="baseline"/>
              <w:rPr>
                <w:rFonts w:asciiTheme="minorHAnsi" w:hAnsiTheme="minorHAnsi" w:cs="Arial"/>
                <w:color w:val="000000" w:themeColor="text1"/>
                <w:sz w:val="20"/>
                <w:szCs w:val="20"/>
              </w:rPr>
            </w:pPr>
            <w:r w:rsidRPr="00D750BB">
              <w:rPr>
                <w:rFonts w:asciiTheme="minorHAnsi" w:hAnsiTheme="minorHAnsi" w:cs="Arial"/>
                <w:bCs w:val="0"/>
                <w:color w:val="000000" w:themeColor="text1"/>
                <w:kern w:val="24"/>
                <w:sz w:val="20"/>
                <w:szCs w:val="20"/>
              </w:rPr>
              <w:t>DRE/BPE ≥ 30cc     62</w:t>
            </w:r>
          </w:p>
          <w:p w:rsidR="00276A2D" w:rsidRPr="00D750BB" w:rsidRDefault="00276A2D" w:rsidP="002715FC">
            <w:pPr>
              <w:pStyle w:val="DecimalAligned"/>
              <w:rPr>
                <w:rFonts w:cs="Arial"/>
                <w:bCs w:val="0"/>
                <w:color w:val="000000" w:themeColor="text1"/>
                <w:kern w:val="24"/>
                <w:sz w:val="20"/>
                <w:szCs w:val="20"/>
              </w:rPr>
            </w:pPr>
            <w:r w:rsidRPr="00D750BB">
              <w:rPr>
                <w:rFonts w:cs="Arial"/>
                <w:bCs w:val="0"/>
                <w:color w:val="000000" w:themeColor="text1"/>
                <w:kern w:val="24"/>
                <w:sz w:val="20"/>
                <w:szCs w:val="20"/>
              </w:rPr>
              <w:t xml:space="preserve">PSA &gt;1.5ng/ml      </w:t>
            </w:r>
            <w:r>
              <w:rPr>
                <w:rFonts w:cs="Arial"/>
                <w:bCs w:val="0"/>
                <w:color w:val="000000" w:themeColor="text1"/>
                <w:kern w:val="24"/>
                <w:sz w:val="20"/>
                <w:szCs w:val="20"/>
              </w:rPr>
              <w:t xml:space="preserve"> </w:t>
            </w:r>
            <w:r w:rsidRPr="00D750BB">
              <w:rPr>
                <w:rFonts w:cs="Arial"/>
                <w:bCs w:val="0"/>
                <w:color w:val="000000" w:themeColor="text1"/>
                <w:kern w:val="24"/>
                <w:sz w:val="20"/>
                <w:szCs w:val="20"/>
              </w:rPr>
              <w:t>36</w:t>
            </w:r>
          </w:p>
          <w:p w:rsidR="00276A2D" w:rsidRPr="00D750BB" w:rsidRDefault="00276A2D" w:rsidP="002715FC">
            <w:pPr>
              <w:pStyle w:val="DecimalAligned"/>
              <w:rPr>
                <w:sz w:val="20"/>
                <w:szCs w:val="20"/>
              </w:rPr>
            </w:pPr>
            <w:r w:rsidRPr="00D750BB">
              <w:rPr>
                <w:rFonts w:cs="Arial"/>
                <w:bCs w:val="0"/>
                <w:color w:val="000000" w:themeColor="text1"/>
                <w:kern w:val="24"/>
                <w:sz w:val="20"/>
                <w:szCs w:val="20"/>
              </w:rPr>
              <w:t xml:space="preserve"> ≥ 30cc</w:t>
            </w:r>
            <w:r w:rsidRPr="00D750BB">
              <w:rPr>
                <w:sz w:val="20"/>
                <w:szCs w:val="20"/>
              </w:rPr>
              <w:t xml:space="preserve">           </w:t>
            </w:r>
          </w:p>
        </w:tc>
        <w:tc>
          <w:tcPr>
            <w:tcW w:w="1250" w:type="pct"/>
            <w:tcBorders>
              <w:top w:val="single" w:sz="4" w:space="0" w:color="auto"/>
              <w:right w:val="nil"/>
            </w:tcBorders>
          </w:tcPr>
          <w:p w:rsidR="00276A2D" w:rsidRPr="00D750BB" w:rsidRDefault="00276A2D" w:rsidP="002715FC">
            <w:pPr>
              <w:pStyle w:val="DecimalAligned"/>
              <w:rPr>
                <w:sz w:val="20"/>
                <w:szCs w:val="20"/>
              </w:rPr>
            </w:pPr>
            <w:r w:rsidRPr="00D750BB">
              <w:rPr>
                <w:sz w:val="20"/>
                <w:szCs w:val="20"/>
              </w:rPr>
              <w:t>15           23          35</w:t>
            </w:r>
          </w:p>
          <w:p w:rsidR="00276A2D" w:rsidRPr="00D750BB" w:rsidRDefault="00276A2D" w:rsidP="002715FC">
            <w:pPr>
              <w:pStyle w:val="DecimalAligned"/>
              <w:rPr>
                <w:sz w:val="20"/>
                <w:szCs w:val="20"/>
              </w:rPr>
            </w:pPr>
            <w:r w:rsidRPr="00D750BB">
              <w:rPr>
                <w:sz w:val="20"/>
                <w:szCs w:val="20"/>
              </w:rPr>
              <w:t>59           68          60</w:t>
            </w:r>
          </w:p>
          <w:p w:rsidR="00276A2D" w:rsidRPr="00D750BB" w:rsidRDefault="00276A2D" w:rsidP="002715FC">
            <w:pPr>
              <w:pStyle w:val="DecimalAligned"/>
              <w:rPr>
                <w:sz w:val="20"/>
                <w:szCs w:val="20"/>
              </w:rPr>
            </w:pPr>
            <w:r w:rsidRPr="00D750BB">
              <w:rPr>
                <w:sz w:val="20"/>
                <w:szCs w:val="20"/>
              </w:rPr>
              <w:t>25           43          58</w:t>
            </w:r>
          </w:p>
        </w:tc>
      </w:tr>
    </w:tbl>
    <w:p w:rsidR="00276A2D" w:rsidRDefault="00276A2D" w:rsidP="00276A2D">
      <w:pPr>
        <w:rPr>
          <w:sz w:val="20"/>
          <w:szCs w:val="20"/>
        </w:rPr>
      </w:pPr>
    </w:p>
    <w:p w:rsidR="00160ED3" w:rsidRDefault="00160ED3" w:rsidP="00160ED3">
      <w:pPr>
        <w:spacing w:after="0"/>
        <w:rPr>
          <w:b/>
          <w:bCs/>
        </w:rPr>
      </w:pPr>
    </w:p>
    <w:p w:rsidR="00593D11" w:rsidRDefault="00593D11" w:rsidP="00160ED3">
      <w:pPr>
        <w:spacing w:after="0"/>
        <w:rPr>
          <w:b/>
          <w:bCs/>
          <w:sz w:val="24"/>
          <w:szCs w:val="24"/>
        </w:rPr>
      </w:pPr>
    </w:p>
    <w:p w:rsidR="00160ED3" w:rsidRPr="005D7EFC" w:rsidRDefault="00160ED3" w:rsidP="00160ED3">
      <w:pPr>
        <w:spacing w:after="0"/>
        <w:rPr>
          <w:bCs/>
          <w:sz w:val="24"/>
          <w:szCs w:val="24"/>
        </w:rPr>
      </w:pPr>
      <w:r w:rsidRPr="00583281">
        <w:rPr>
          <w:b/>
          <w:bCs/>
          <w:sz w:val="24"/>
          <w:szCs w:val="24"/>
        </w:rPr>
        <w:t>Table 5</w:t>
      </w:r>
      <w:r w:rsidRPr="00583281">
        <w:rPr>
          <w:bCs/>
          <w:sz w:val="24"/>
          <w:szCs w:val="24"/>
        </w:rPr>
        <w:t xml:space="preserve">   SUMMARY OF AGGRESSIVENESS OF PC IN MEN OF AFRICAN DESCENT</w:t>
      </w:r>
    </w:p>
    <w:tbl>
      <w:tblPr>
        <w:tblW w:w="0" w:type="auto"/>
        <w:tblInd w:w="153" w:type="dxa"/>
        <w:tblBorders>
          <w:top w:val="single" w:sz="4" w:space="0" w:color="auto"/>
        </w:tblBorders>
        <w:tblLook w:val="0000"/>
      </w:tblPr>
      <w:tblGrid>
        <w:gridCol w:w="8640"/>
      </w:tblGrid>
      <w:tr w:rsidR="00160ED3" w:rsidTr="002715FC">
        <w:trPr>
          <w:trHeight w:val="315"/>
        </w:trPr>
        <w:tc>
          <w:tcPr>
            <w:tcW w:w="8640" w:type="dxa"/>
            <w:tcBorders>
              <w:bottom w:val="single" w:sz="4" w:space="0" w:color="auto"/>
            </w:tcBorders>
            <w:shd w:val="clear" w:color="auto" w:fill="auto"/>
          </w:tcPr>
          <w:p w:rsidR="00160ED3" w:rsidRPr="00ED6D78" w:rsidRDefault="00160ED3" w:rsidP="002715FC">
            <w:pPr>
              <w:spacing w:after="0"/>
              <w:rPr>
                <w:b/>
              </w:rPr>
            </w:pPr>
            <w:r w:rsidRPr="00ED6D78">
              <w:rPr>
                <w:b/>
              </w:rPr>
              <w:lastRenderedPageBreak/>
              <w:t xml:space="preserve">REGION           Mean Age            Median PSA ng/ml             Median GS           Tumour Stage at                      </w:t>
            </w:r>
          </w:p>
          <w:p w:rsidR="00160ED3" w:rsidRDefault="00160ED3" w:rsidP="002715FC">
            <w:pPr>
              <w:spacing w:after="0"/>
            </w:pPr>
            <w:r w:rsidRPr="00ED6D78">
              <w:rPr>
                <w:b/>
              </w:rPr>
              <w:t xml:space="preserve">                             years                                                                                                presentation</w:t>
            </w:r>
          </w:p>
        </w:tc>
      </w:tr>
      <w:tr w:rsidR="00160ED3" w:rsidTr="002715FC">
        <w:trPr>
          <w:trHeight w:val="180"/>
        </w:trPr>
        <w:tc>
          <w:tcPr>
            <w:tcW w:w="8640" w:type="dxa"/>
            <w:tcBorders>
              <w:top w:val="single" w:sz="4" w:space="0" w:color="auto"/>
              <w:bottom w:val="single" w:sz="4" w:space="0" w:color="auto"/>
            </w:tcBorders>
          </w:tcPr>
          <w:p w:rsidR="00160ED3" w:rsidRDefault="00160ED3" w:rsidP="002715FC">
            <w:r>
              <w:t xml:space="preserve">AFRICA                    69                         59(R0.5 – 14,390)              ≥7                      ↑T3 – T4 </w:t>
            </w:r>
          </w:p>
        </w:tc>
      </w:tr>
      <w:tr w:rsidR="00160ED3" w:rsidTr="002715FC">
        <w:trPr>
          <w:trHeight w:val="180"/>
        </w:trPr>
        <w:tc>
          <w:tcPr>
            <w:tcW w:w="8640" w:type="dxa"/>
            <w:tcBorders>
              <w:top w:val="single" w:sz="4" w:space="0" w:color="auto"/>
              <w:bottom w:val="single" w:sz="4" w:space="0" w:color="auto"/>
            </w:tcBorders>
          </w:tcPr>
          <w:p w:rsidR="00160ED3" w:rsidRDefault="00160ED3" w:rsidP="002715FC">
            <w:r>
              <w:t xml:space="preserve">CARIBBEAN             72                             32                                    ≥7                      </w:t>
            </w:r>
            <w:r w:rsidRPr="00583281">
              <w:rPr>
                <w:sz w:val="24"/>
                <w:szCs w:val="24"/>
              </w:rPr>
              <w:t>↑T3 – T4</w:t>
            </w:r>
          </w:p>
        </w:tc>
      </w:tr>
      <w:tr w:rsidR="00160ED3" w:rsidTr="002715FC">
        <w:trPr>
          <w:trHeight w:val="180"/>
        </w:trPr>
        <w:tc>
          <w:tcPr>
            <w:tcW w:w="8640" w:type="dxa"/>
            <w:tcBorders>
              <w:top w:val="single" w:sz="4" w:space="0" w:color="auto"/>
              <w:bottom w:val="single" w:sz="4" w:space="0" w:color="auto"/>
            </w:tcBorders>
          </w:tcPr>
          <w:p w:rsidR="00160ED3" w:rsidRDefault="00160ED3" w:rsidP="002715FC">
            <w:r>
              <w:t xml:space="preserve">UK BLACKS              71                            107                                   ≥6                      </w:t>
            </w:r>
            <w:r w:rsidRPr="00583281">
              <w:rPr>
                <w:sz w:val="24"/>
                <w:szCs w:val="24"/>
              </w:rPr>
              <w:t>↑T3 – T4</w:t>
            </w:r>
          </w:p>
        </w:tc>
      </w:tr>
      <w:tr w:rsidR="00160ED3" w:rsidTr="002715FC">
        <w:trPr>
          <w:trHeight w:val="180"/>
        </w:trPr>
        <w:tc>
          <w:tcPr>
            <w:tcW w:w="8640" w:type="dxa"/>
            <w:tcBorders>
              <w:top w:val="single" w:sz="4" w:space="0" w:color="auto"/>
              <w:bottom w:val="single" w:sz="4" w:space="0" w:color="auto"/>
            </w:tcBorders>
          </w:tcPr>
          <w:p w:rsidR="00160ED3" w:rsidRDefault="00160ED3" w:rsidP="002715FC">
            <w:pPr>
              <w:spacing w:after="0"/>
            </w:pPr>
            <w:r>
              <w:t xml:space="preserve">USA AFRICAN         69                              7                                     ≥7                      </w:t>
            </w:r>
            <w:r>
              <w:rPr>
                <w:sz w:val="24"/>
                <w:szCs w:val="24"/>
              </w:rPr>
              <w:t>↑T1 – T2</w:t>
            </w:r>
          </w:p>
          <w:p w:rsidR="00160ED3" w:rsidRDefault="00160ED3" w:rsidP="002715FC">
            <w:pPr>
              <w:spacing w:after="0"/>
            </w:pPr>
            <w:r>
              <w:t>AMERICANS</w:t>
            </w:r>
          </w:p>
        </w:tc>
      </w:tr>
      <w:tr w:rsidR="00160ED3" w:rsidTr="002715FC">
        <w:trPr>
          <w:trHeight w:val="180"/>
        </w:trPr>
        <w:tc>
          <w:tcPr>
            <w:tcW w:w="8640" w:type="dxa"/>
            <w:tcBorders>
              <w:top w:val="single" w:sz="4" w:space="0" w:color="auto"/>
              <w:bottom w:val="single" w:sz="4" w:space="0" w:color="auto"/>
            </w:tcBorders>
          </w:tcPr>
          <w:p w:rsidR="00160ED3" w:rsidRDefault="00160ED3" w:rsidP="002715FC">
            <w:pPr>
              <w:spacing w:after="0"/>
            </w:pPr>
            <w:r w:rsidRPr="00583281">
              <w:rPr>
                <w:sz w:val="24"/>
                <w:szCs w:val="24"/>
              </w:rPr>
              <w:t>Limitations in finding true picture in populations with high mortality – No PSA screening for population prevalence, No autopsy data, absence of reliable</w:t>
            </w:r>
            <w:r>
              <w:rPr>
                <w:sz w:val="24"/>
                <w:szCs w:val="24"/>
              </w:rPr>
              <w:t xml:space="preserve"> Cancer Registries  Rebbeck</w:t>
            </w:r>
          </w:p>
        </w:tc>
      </w:tr>
    </w:tbl>
    <w:p w:rsidR="00160ED3" w:rsidRDefault="00160ED3" w:rsidP="00160ED3"/>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386012" w:rsidRDefault="00386012" w:rsidP="00620A8A">
      <w:pPr>
        <w:spacing w:after="0"/>
        <w:rPr>
          <w:b/>
          <w:bCs/>
          <w:i/>
          <w:sz w:val="24"/>
          <w:szCs w:val="24"/>
          <w:u w:val="single"/>
        </w:rPr>
      </w:pPr>
    </w:p>
    <w:p w:rsidR="00593D11" w:rsidRDefault="00593D11" w:rsidP="00620A8A">
      <w:pPr>
        <w:spacing w:after="0"/>
        <w:rPr>
          <w:b/>
          <w:bCs/>
          <w:i/>
          <w:sz w:val="24"/>
          <w:szCs w:val="24"/>
          <w:u w:val="single"/>
        </w:rPr>
      </w:pPr>
    </w:p>
    <w:p w:rsidR="00593D11" w:rsidRDefault="00593D11" w:rsidP="00620A8A">
      <w:pPr>
        <w:spacing w:after="0"/>
        <w:rPr>
          <w:b/>
          <w:bCs/>
          <w:i/>
          <w:sz w:val="24"/>
          <w:szCs w:val="24"/>
          <w:u w:val="single"/>
        </w:rPr>
      </w:pPr>
    </w:p>
    <w:p w:rsidR="00593D11" w:rsidRDefault="00593D11" w:rsidP="00620A8A">
      <w:pPr>
        <w:spacing w:after="0"/>
        <w:rPr>
          <w:b/>
          <w:bCs/>
          <w:i/>
          <w:sz w:val="24"/>
          <w:szCs w:val="24"/>
          <w:u w:val="single"/>
        </w:rPr>
      </w:pPr>
    </w:p>
    <w:p w:rsidR="00593D11" w:rsidRDefault="00593D11" w:rsidP="00620A8A">
      <w:pPr>
        <w:spacing w:after="0"/>
        <w:rPr>
          <w:b/>
          <w:bCs/>
          <w:i/>
          <w:sz w:val="24"/>
          <w:szCs w:val="24"/>
          <w:u w:val="single"/>
        </w:rPr>
      </w:pPr>
    </w:p>
    <w:p w:rsidR="00593D11" w:rsidRDefault="00593D11" w:rsidP="00620A8A">
      <w:pPr>
        <w:spacing w:after="0"/>
        <w:rPr>
          <w:b/>
          <w:bCs/>
          <w:i/>
          <w:sz w:val="24"/>
          <w:szCs w:val="24"/>
          <w:u w:val="single"/>
        </w:rPr>
      </w:pPr>
    </w:p>
    <w:p w:rsidR="00593D11" w:rsidRDefault="00593D11" w:rsidP="00620A8A">
      <w:pPr>
        <w:spacing w:after="0"/>
        <w:rPr>
          <w:b/>
          <w:bCs/>
          <w:i/>
          <w:sz w:val="24"/>
          <w:szCs w:val="24"/>
          <w:u w:val="single"/>
        </w:rPr>
      </w:pPr>
    </w:p>
    <w:p w:rsidR="00593D11" w:rsidRDefault="00593D11" w:rsidP="00620A8A">
      <w:pPr>
        <w:spacing w:after="0"/>
        <w:rPr>
          <w:b/>
          <w:bCs/>
          <w:i/>
          <w:sz w:val="24"/>
          <w:szCs w:val="24"/>
          <w:u w:val="single"/>
        </w:rPr>
      </w:pPr>
    </w:p>
    <w:p w:rsidR="00386012" w:rsidRPr="00386012" w:rsidRDefault="00386012" w:rsidP="00620A8A">
      <w:pPr>
        <w:spacing w:after="0"/>
        <w:rPr>
          <w:b/>
          <w:bCs/>
          <w:i/>
          <w:sz w:val="24"/>
          <w:szCs w:val="24"/>
          <w:u w:val="single"/>
        </w:rPr>
      </w:pPr>
    </w:p>
    <w:p w:rsidR="00386012" w:rsidRDefault="00386012" w:rsidP="00620A8A">
      <w:pPr>
        <w:spacing w:after="0"/>
        <w:rPr>
          <w:bCs/>
          <w:i/>
          <w:sz w:val="24"/>
          <w:szCs w:val="24"/>
          <w:u w:val="single"/>
        </w:rPr>
      </w:pPr>
    </w:p>
    <w:p w:rsidR="00386012" w:rsidRPr="00DB639C" w:rsidRDefault="00A427AD" w:rsidP="00386012">
      <w:pPr>
        <w:spacing w:after="0" w:line="240" w:lineRule="auto"/>
        <w:rPr>
          <w:rFonts w:eastAsia="Times New Roman" w:cs="Arial"/>
          <w:b/>
          <w:color w:val="000000"/>
          <w:sz w:val="24"/>
          <w:szCs w:val="24"/>
        </w:rPr>
      </w:pPr>
      <w:r>
        <w:rPr>
          <w:rFonts w:eastAsia="Times New Roman" w:cs="Arial"/>
          <w:b/>
          <w:color w:val="000000"/>
          <w:sz w:val="24"/>
          <w:szCs w:val="24"/>
        </w:rPr>
        <w:t>Fig 1</w:t>
      </w:r>
    </w:p>
    <w:p w:rsidR="00386012" w:rsidRPr="00D97654" w:rsidRDefault="00601102" w:rsidP="00386012">
      <w:pPr>
        <w:tabs>
          <w:tab w:val="left" w:pos="6270"/>
        </w:tabs>
        <w:spacing w:line="360" w:lineRule="auto"/>
        <w:rPr>
          <w:b/>
          <w:bCs/>
        </w:rPr>
      </w:pPr>
      <w:r w:rsidRPr="00601102">
        <w:rPr>
          <w:noProof/>
        </w:rPr>
        <w:pict>
          <v:shapetype id="_x0000_t202" coordsize="21600,21600" o:spt="202" path="m,l,21600r21600,l21600,xe">
            <v:stroke joinstyle="miter"/>
            <v:path gradientshapeok="t" o:connecttype="rect"/>
          </v:shapetype>
          <v:shape id="Text Box 13" o:spid="_x0000_s1027" type="#_x0000_t202" style="position:absolute;margin-left:-9pt;margin-top:198pt;width:81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">
            <v:textbox>
              <w:txbxContent>
                <w:p w:rsidR="002715FC" w:rsidRDefault="002715FC" w:rsidP="00386012">
                  <w:r>
                    <w:rPr>
                      <w:sz w:val="20"/>
                      <w:szCs w:val="20"/>
                    </w:rPr>
                    <w:t>Common cause                   in period:</w:t>
                  </w:r>
                </w:p>
              </w:txbxContent>
            </v:textbox>
          </v:shape>
        </w:pict>
      </w:r>
      <w:r w:rsidRPr="00601102">
        <w:rPr>
          <w:noProof/>
        </w:rPr>
        <w:pict>
          <v:shape id="Text Box 12" o:spid="_x0000_s1028" type="#_x0000_t202" style="position:absolute;margin-left:261pt;margin-top:207pt;width:39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">
            <v:textbox>
              <w:txbxContent>
                <w:p w:rsidR="002715FC" w:rsidRDefault="002715FC" w:rsidP="00386012">
                  <w:r w:rsidRPr="00121F7E">
                    <w:rPr>
                      <w:sz w:val="20"/>
                      <w:szCs w:val="20"/>
                    </w:rPr>
                    <w:t>BPH</w:t>
                  </w:r>
                  <w:r>
                    <w:t xml:space="preserve"> </w:t>
                  </w:r>
                </w:p>
              </w:txbxContent>
            </v:textbox>
          </v:shape>
        </w:pict>
      </w:r>
      <w:r w:rsidRPr="00601102">
        <w:rPr>
          <w:noProof/>
        </w:rPr>
        <w:pict>
          <v:shape id="Text Box 11" o:spid="_x0000_s1029" type="#_x0000_t202" style="position:absolute;margin-left:180pt;margin-top:207pt;width:39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">
            <v:textbox>
              <w:txbxContent>
                <w:p w:rsidR="002715FC" w:rsidRDefault="002715FC" w:rsidP="00386012">
                  <w:r w:rsidRPr="00121F7E">
                    <w:rPr>
                      <w:sz w:val="20"/>
                      <w:szCs w:val="20"/>
                    </w:rPr>
                    <w:t>BPH</w:t>
                  </w:r>
                  <w:r>
                    <w:t xml:space="preserve"> </w:t>
                  </w:r>
                </w:p>
              </w:txbxContent>
            </v:textbox>
          </v:shape>
        </w:pict>
      </w:r>
      <w:r w:rsidRPr="00601102">
        <w:rPr>
          <w:noProof/>
        </w:rPr>
        <w:pict>
          <v:shape id="Text Box 10" o:spid="_x0000_s1030" type="#_x0000_t202" style="position:absolute;margin-left:1in;margin-top:207pt;width:90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">
            <v:textbox>
              <w:txbxContent>
                <w:p w:rsidR="002715FC" w:rsidRDefault="002715FC" w:rsidP="00386012">
                  <w:r>
                    <w:rPr>
                      <w:sz w:val="20"/>
                      <w:szCs w:val="20"/>
                    </w:rPr>
                    <w:t>Urethral stricture</w:t>
                  </w:r>
                </w:p>
              </w:txbxContent>
            </v:textbox>
          </v:shape>
        </w:pict>
      </w:r>
      <w:r w:rsidR="00386012">
        <w:t xml:space="preserve">   </w:t>
      </w:r>
      <w:r w:rsidR="00386012">
        <w:rPr>
          <w:noProof/>
          <w:lang w:val="en-GB" w:eastAsia="en-GB"/>
        </w:rPr>
        <w:drawing>
          <wp:inline distT="0" distB="0" distL="0" distR="0">
            <wp:extent cx="4800600" cy="2733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800600" cy="2733675"/>
                    </a:xfrm>
                    <a:prstGeom prst="rect">
                      <a:avLst/>
                    </a:prstGeom>
                    <a:noFill/>
                    <a:ln w="9525">
                      <a:noFill/>
                      <a:miter lim="800000"/>
                      <a:headEnd/>
                      <a:tailEnd/>
                    </a:ln>
                  </pic:spPr>
                </pic:pic>
              </a:graphicData>
            </a:graphic>
          </wp:inline>
        </w:drawing>
      </w:r>
    </w:p>
    <w:p w:rsidR="00386012" w:rsidRPr="00D97654" w:rsidRDefault="00386012" w:rsidP="00386012">
      <w:pPr>
        <w:tabs>
          <w:tab w:val="left" w:pos="6270"/>
        </w:tabs>
        <w:spacing w:after="0" w:line="240" w:lineRule="auto"/>
      </w:pPr>
      <w:r>
        <w:t>Acronyms US – Urethral stricture, BPH – benign prostatic hyperplasia/enlargement (BPE),                              CaP – prostate cancer, RU – ruptured urethra</w:t>
      </w:r>
    </w:p>
    <w:p w:rsidR="00386012" w:rsidRDefault="00386012" w:rsidP="00386012">
      <w:pPr>
        <w:pStyle w:val="ListParagraph"/>
        <w:spacing w:after="0" w:line="240" w:lineRule="auto"/>
        <w:ind w:left="360"/>
        <w:rPr>
          <w:rFonts w:eastAsia="Times New Roman" w:cs="Arial"/>
          <w:b/>
          <w:color w:val="000000"/>
          <w:sz w:val="24"/>
          <w:szCs w:val="24"/>
        </w:rPr>
      </w:pPr>
    </w:p>
    <w:p w:rsidR="00386012" w:rsidRDefault="00386012" w:rsidP="00386012">
      <w:pPr>
        <w:spacing w:after="0" w:line="240" w:lineRule="auto"/>
        <w:rPr>
          <w:rFonts w:eastAsia="Times New Roman" w:cs="Arial"/>
          <w:b/>
          <w:color w:val="000000"/>
          <w:sz w:val="24"/>
          <w:szCs w:val="24"/>
        </w:rPr>
      </w:pPr>
    </w:p>
    <w:p w:rsidR="00593D11" w:rsidRDefault="00593D11" w:rsidP="00386012">
      <w:pPr>
        <w:spacing w:after="0" w:line="240" w:lineRule="auto"/>
        <w:rPr>
          <w:rFonts w:eastAsia="Times New Roman" w:cs="Arial"/>
          <w:b/>
          <w:color w:val="000000"/>
          <w:sz w:val="24"/>
          <w:szCs w:val="24"/>
        </w:rPr>
      </w:pPr>
    </w:p>
    <w:p w:rsidR="00593D11" w:rsidRDefault="00593D11" w:rsidP="00386012">
      <w:pPr>
        <w:spacing w:after="0" w:line="240" w:lineRule="auto"/>
        <w:rPr>
          <w:rFonts w:eastAsia="Times New Roman" w:cs="Arial"/>
          <w:b/>
          <w:color w:val="000000"/>
          <w:sz w:val="24"/>
          <w:szCs w:val="24"/>
        </w:rPr>
      </w:pPr>
    </w:p>
    <w:p w:rsidR="00593D11" w:rsidRDefault="00593D11" w:rsidP="00386012">
      <w:pPr>
        <w:spacing w:after="0" w:line="240" w:lineRule="auto"/>
        <w:rPr>
          <w:rFonts w:eastAsia="Times New Roman" w:cs="Arial"/>
          <w:b/>
          <w:color w:val="000000"/>
          <w:sz w:val="24"/>
          <w:szCs w:val="24"/>
        </w:rPr>
      </w:pPr>
    </w:p>
    <w:p w:rsidR="00386012" w:rsidRPr="000A040D" w:rsidRDefault="00A427AD" w:rsidP="00386012">
      <w:pPr>
        <w:pStyle w:val="ListParagraph"/>
        <w:spacing w:after="0" w:line="240" w:lineRule="auto"/>
        <w:ind w:left="360"/>
        <w:rPr>
          <w:rFonts w:eastAsia="Times New Roman" w:cs="Arial"/>
          <w:color w:val="000000"/>
          <w:sz w:val="24"/>
          <w:szCs w:val="24"/>
        </w:rPr>
      </w:pPr>
      <w:r>
        <w:rPr>
          <w:rFonts w:eastAsia="Times New Roman" w:cs="Arial"/>
          <w:b/>
          <w:color w:val="000000"/>
          <w:sz w:val="24"/>
          <w:szCs w:val="24"/>
        </w:rPr>
        <w:t>Fig 2</w:t>
      </w:r>
      <w:r w:rsidR="002368A8">
        <w:rPr>
          <w:rFonts w:eastAsia="Times New Roman" w:cs="Arial"/>
          <w:color w:val="000000"/>
          <w:sz w:val="24"/>
          <w:szCs w:val="24"/>
        </w:rPr>
        <w:t>:</w:t>
      </w:r>
      <w:r w:rsidR="00386012" w:rsidRPr="007A4043">
        <w:rPr>
          <w:rFonts w:eastAsia="Times New Roman" w:cs="Arial"/>
          <w:color w:val="000000"/>
          <w:sz w:val="24"/>
          <w:szCs w:val="24"/>
          <w:vertAlign w:val="superscript"/>
        </w:rPr>
        <w:t xml:space="preserve">    </w:t>
      </w:r>
      <w:r w:rsidR="00386012" w:rsidRPr="000A040D">
        <w:rPr>
          <w:rFonts w:eastAsia="Times New Roman" w:cs="Arial"/>
          <w:b/>
          <w:color w:val="000000"/>
          <w:sz w:val="24"/>
          <w:szCs w:val="24"/>
        </w:rPr>
        <w:t>Common causes of haematuria in Accra, Ghana</w:t>
      </w:r>
    </w:p>
    <w:p w:rsidR="00386012" w:rsidRDefault="00386012" w:rsidP="00386012">
      <w:pPr>
        <w:spacing w:after="0" w:line="240" w:lineRule="auto"/>
        <w:rPr>
          <w:rFonts w:eastAsia="Times New Roman" w:cs="Arial"/>
          <w:b/>
          <w:bCs/>
          <w:color w:val="000000"/>
          <w:sz w:val="24"/>
          <w:szCs w:val="24"/>
        </w:rPr>
      </w:pPr>
      <w:r>
        <w:rPr>
          <w:noProof/>
          <w:lang w:val="en-GB" w:eastAsia="en-GB"/>
        </w:rPr>
        <w:drawing>
          <wp:inline distT="0" distB="0" distL="0" distR="0">
            <wp:extent cx="4495800" cy="2228850"/>
            <wp:effectExtent l="0" t="0" r="0" b="0"/>
            <wp:docPr id="1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6012" w:rsidRDefault="00386012" w:rsidP="00386012">
      <w:pPr>
        <w:spacing w:after="0" w:line="240" w:lineRule="auto"/>
        <w:rPr>
          <w:rFonts w:eastAsia="Times New Roman" w:cs="Arial"/>
          <w:bCs/>
          <w:color w:val="000000"/>
          <w:sz w:val="24"/>
          <w:szCs w:val="24"/>
        </w:rPr>
      </w:pPr>
      <w:r>
        <w:rPr>
          <w:rFonts w:eastAsia="Times New Roman" w:cs="Arial"/>
          <w:bCs/>
          <w:color w:val="000000"/>
          <w:sz w:val="24"/>
          <w:szCs w:val="24"/>
        </w:rPr>
        <w:t>VS = Vesical schistosomiasis, UTI – Urinary Tract Infection</w:t>
      </w:r>
    </w:p>
    <w:p w:rsidR="00386012" w:rsidRDefault="00386012" w:rsidP="00386012">
      <w:pPr>
        <w:spacing w:after="0" w:line="240" w:lineRule="auto"/>
        <w:rPr>
          <w:rFonts w:eastAsia="Times New Roman" w:cs="Arial"/>
          <w:bCs/>
          <w:color w:val="000000"/>
          <w:sz w:val="24"/>
          <w:szCs w:val="24"/>
        </w:rPr>
      </w:pPr>
      <w:r>
        <w:rPr>
          <w:rFonts w:eastAsia="Times New Roman" w:cs="Arial"/>
          <w:bCs/>
          <w:color w:val="000000"/>
          <w:sz w:val="24"/>
          <w:szCs w:val="24"/>
        </w:rPr>
        <w:t>KID = Kidney condition, INJ – Injury GU Tract</w:t>
      </w:r>
    </w:p>
    <w:p w:rsidR="00386012" w:rsidRDefault="00386012" w:rsidP="00386012">
      <w:pPr>
        <w:spacing w:after="0" w:line="240" w:lineRule="auto"/>
        <w:rPr>
          <w:rFonts w:eastAsia="Times New Roman" w:cs="Arial"/>
          <w:color w:val="000000"/>
          <w:sz w:val="24"/>
          <w:szCs w:val="24"/>
        </w:rPr>
      </w:pPr>
    </w:p>
    <w:p w:rsidR="00386012" w:rsidRDefault="00386012" w:rsidP="00386012">
      <w:pPr>
        <w:pStyle w:val="ListParagraph"/>
        <w:spacing w:after="0" w:line="240" w:lineRule="auto"/>
        <w:ind w:left="360"/>
        <w:rPr>
          <w:rFonts w:eastAsia="Times New Roman" w:cs="Arial"/>
          <w:b/>
          <w:color w:val="000000"/>
          <w:sz w:val="24"/>
          <w:szCs w:val="24"/>
        </w:rPr>
      </w:pPr>
    </w:p>
    <w:p w:rsidR="00386012" w:rsidRPr="00386012" w:rsidRDefault="00386012" w:rsidP="00620A8A">
      <w:pPr>
        <w:spacing w:after="0"/>
        <w:rPr>
          <w:bCs/>
          <w:sz w:val="24"/>
          <w:szCs w:val="24"/>
        </w:rPr>
      </w:pPr>
    </w:p>
    <w:p w:rsidR="00AC3AD9" w:rsidRPr="002368A8" w:rsidRDefault="00AC3AD9" w:rsidP="00AC3AD9">
      <w:pPr>
        <w:spacing w:after="0" w:line="240" w:lineRule="auto"/>
        <w:rPr>
          <w:rFonts w:eastAsia="Times New Roman" w:cs="Arial"/>
          <w:b/>
          <w:color w:val="000000"/>
          <w:sz w:val="24"/>
          <w:szCs w:val="24"/>
        </w:rPr>
      </w:pPr>
      <w:r>
        <w:rPr>
          <w:rFonts w:eastAsia="Times New Roman" w:cs="Arial"/>
          <w:b/>
          <w:color w:val="000000"/>
          <w:sz w:val="24"/>
          <w:szCs w:val="24"/>
        </w:rPr>
        <w:lastRenderedPageBreak/>
        <w:t>Fig 3</w:t>
      </w:r>
      <w:r w:rsidR="002368A8">
        <w:rPr>
          <w:rFonts w:eastAsia="Times New Roman" w:cs="Arial"/>
          <w:color w:val="000000"/>
          <w:sz w:val="24"/>
          <w:szCs w:val="24"/>
        </w:rPr>
        <w:t>:</w:t>
      </w:r>
      <w:r w:rsidR="002368A8">
        <w:rPr>
          <w:rFonts w:eastAsia="Times New Roman" w:cs="Arial"/>
          <w:b/>
          <w:color w:val="000000"/>
          <w:sz w:val="24"/>
          <w:szCs w:val="24"/>
        </w:rPr>
        <w:t xml:space="preserve"> </w:t>
      </w:r>
      <w:r w:rsidRPr="006D6AF3">
        <w:rPr>
          <w:rFonts w:eastAsia="Times New Roman" w:cs="Arial"/>
          <w:bCs/>
          <w:color w:val="000000"/>
          <w:sz w:val="24"/>
          <w:szCs w:val="24"/>
        </w:rPr>
        <w:t>PREVALENCE BPH/BPE/NCPE GREATER ACCRA POPULATION 2,905,736 GPHS MEN 50-74 – 125,443 (2002 – 2007) UGMS NCI/NIH</w:t>
      </w:r>
    </w:p>
    <w:p w:rsidR="00AC3AD9" w:rsidRDefault="00AC3AD9" w:rsidP="00AC3AD9">
      <w:pPr>
        <w:rPr>
          <w:sz w:val="18"/>
          <w:szCs w:val="18"/>
        </w:rPr>
      </w:pPr>
      <w:r w:rsidRPr="005349E1">
        <w:rPr>
          <w:noProof/>
          <w:sz w:val="18"/>
          <w:szCs w:val="18"/>
          <w:lang w:val="en-GB" w:eastAsia="en-GB"/>
        </w:rPr>
        <w:drawing>
          <wp:inline distT="0" distB="0" distL="0" distR="0">
            <wp:extent cx="4162425" cy="2393394"/>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164392" cy="2394525"/>
                    </a:xfrm>
                    <a:prstGeom prst="rect">
                      <a:avLst/>
                    </a:prstGeom>
                    <a:noFill/>
                    <a:ln w="9525">
                      <a:miter lim="800000"/>
                      <a:headEnd/>
                      <a:tailEnd/>
                    </a:ln>
                    <a:effectLst/>
                  </pic:spPr>
                </pic:pic>
              </a:graphicData>
            </a:graphic>
          </wp:inline>
        </w:drawing>
      </w:r>
    </w:p>
    <w:p w:rsidR="00386012" w:rsidRDefault="00386012"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AC3AD9" w:rsidRDefault="00601102" w:rsidP="00AC3AD9">
      <w:pPr>
        <w:rPr>
          <w:sz w:val="24"/>
          <w:szCs w:val="24"/>
        </w:rPr>
      </w:pPr>
      <w:r w:rsidRPr="00601102">
        <w:rPr>
          <w:noProof/>
        </w:rPr>
        <w:pict>
          <v:shape id="Text Box 16" o:spid="_x0000_s1031" type="#_x0000_t202" style="position:absolute;margin-left:-18pt;margin-top:19.25pt;width:69pt;height:30.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" filled="f" strokecolor="white">
            <v:textbox>
              <w:txbxContent>
                <w:p w:rsidR="002715FC" w:rsidRPr="002368A8" w:rsidRDefault="002715FC" w:rsidP="00AC3AD9">
                  <w:pPr>
                    <w:rPr>
                      <w:b/>
                      <w:sz w:val="24"/>
                      <w:szCs w:val="24"/>
                    </w:rPr>
                  </w:pPr>
                  <w:r w:rsidRPr="00725499">
                    <w:rPr>
                      <w:b/>
                      <w:sz w:val="24"/>
                      <w:szCs w:val="24"/>
                    </w:rPr>
                    <w:t>Fig</w:t>
                  </w:r>
                  <w:r w:rsidRPr="009C3A56">
                    <w:rPr>
                      <w:b/>
                      <w:sz w:val="24"/>
                      <w:szCs w:val="24"/>
                    </w:rPr>
                    <w:t xml:space="preserve"> 4</w:t>
                  </w:r>
                  <w:r w:rsidR="002368A8">
                    <w:rPr>
                      <w:b/>
                      <w:sz w:val="24"/>
                      <w:szCs w:val="24"/>
                    </w:rPr>
                    <w:t>:</w:t>
                  </w:r>
                </w:p>
              </w:txbxContent>
            </v:textbox>
          </v:shape>
        </w:pict>
      </w:r>
      <w:r w:rsidRPr="00601102">
        <w:rPr>
          <w:noProof/>
        </w:rPr>
        <w:pict>
          <v:shape id="Text Box 3" o:spid="_x0000_s1032" type="#_x0000_t202" style="position:absolute;margin-left:185.25pt;margin-top:194.75pt;width:105pt;height: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">
            <v:textbox>
              <w:txbxContent>
                <w:p w:rsidR="002715FC" w:rsidRDefault="002715FC" w:rsidP="00AC3AD9">
                  <w:r>
                    <w:t>T1-T2 (59) = 81%</w:t>
                  </w:r>
                </w:p>
              </w:txbxContent>
            </v:textbox>
          </v:shape>
        </w:pict>
      </w:r>
      <w:r w:rsidR="00AC3AD9" w:rsidRPr="006B00AB">
        <w:object w:dxaOrig="7202"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1pt;height:205.15pt" o:ole="">
            <v:imagedata r:id="rId10" o:title=""/>
          </v:shape>
          <o:OLEObject Type="Embed" ProgID="PowerPoint.Slide.12" ShapeID="_x0000_i1026" DrawAspect="Content" ObjectID="_1563108489" r:id="rId11"/>
        </w:object>
      </w:r>
    </w:p>
    <w:p w:rsidR="00593D11" w:rsidRDefault="00593D11" w:rsidP="00160ED3">
      <w:pPr>
        <w:spacing w:after="0"/>
        <w:rPr>
          <w:b/>
          <w:bCs/>
          <w:sz w:val="24"/>
          <w:szCs w:val="24"/>
        </w:rPr>
      </w:pPr>
    </w:p>
    <w:p w:rsidR="00593D11" w:rsidRDefault="00593D11" w:rsidP="00160ED3">
      <w:pPr>
        <w:spacing w:after="0"/>
        <w:rPr>
          <w:b/>
          <w:bCs/>
          <w:sz w:val="24"/>
          <w:szCs w:val="24"/>
        </w:rPr>
      </w:pPr>
    </w:p>
    <w:p w:rsidR="00593D11" w:rsidRDefault="00593D11" w:rsidP="00160ED3">
      <w:pPr>
        <w:spacing w:after="0"/>
        <w:rPr>
          <w:b/>
          <w:bCs/>
          <w:sz w:val="24"/>
          <w:szCs w:val="24"/>
        </w:rPr>
      </w:pPr>
    </w:p>
    <w:p w:rsidR="00593D11" w:rsidRDefault="00593D11" w:rsidP="00160ED3">
      <w:pPr>
        <w:spacing w:after="0"/>
        <w:rPr>
          <w:b/>
          <w:bCs/>
          <w:sz w:val="24"/>
          <w:szCs w:val="24"/>
        </w:rPr>
      </w:pPr>
    </w:p>
    <w:p w:rsidR="00593D11" w:rsidRDefault="00593D11" w:rsidP="00160ED3">
      <w:pPr>
        <w:spacing w:after="0"/>
        <w:rPr>
          <w:b/>
          <w:bCs/>
          <w:sz w:val="24"/>
          <w:szCs w:val="24"/>
        </w:rPr>
      </w:pPr>
    </w:p>
    <w:p w:rsidR="00593D11" w:rsidRDefault="00593D11" w:rsidP="00160ED3">
      <w:pPr>
        <w:spacing w:after="0"/>
        <w:rPr>
          <w:b/>
          <w:bCs/>
          <w:sz w:val="24"/>
          <w:szCs w:val="24"/>
        </w:rPr>
      </w:pPr>
    </w:p>
    <w:p w:rsidR="00593D11" w:rsidRDefault="00593D11" w:rsidP="00160ED3">
      <w:pPr>
        <w:spacing w:after="0"/>
        <w:rPr>
          <w:b/>
          <w:bCs/>
          <w:sz w:val="24"/>
          <w:szCs w:val="24"/>
        </w:rPr>
      </w:pPr>
    </w:p>
    <w:p w:rsidR="00160ED3" w:rsidRPr="00A427AD" w:rsidRDefault="00160ED3" w:rsidP="00160ED3">
      <w:pPr>
        <w:spacing w:after="0"/>
        <w:rPr>
          <w:sz w:val="24"/>
          <w:szCs w:val="24"/>
          <w:vertAlign w:val="superscript"/>
        </w:rPr>
      </w:pPr>
      <w:r>
        <w:rPr>
          <w:noProof/>
          <w:sz w:val="24"/>
          <w:szCs w:val="24"/>
          <w:vertAlign w:val="superscript"/>
          <w:lang w:val="en-GB" w:eastAsia="en-GB"/>
        </w:rPr>
        <w:drawing>
          <wp:anchor distT="0" distB="0" distL="114300" distR="114300" simplePos="0" relativeHeight="251675648" behindDoc="0" locked="0" layoutInCell="1" allowOverlap="1">
            <wp:simplePos x="0" y="0"/>
            <wp:positionH relativeFrom="column">
              <wp:posOffset>138023</wp:posOffset>
            </wp:positionH>
            <wp:positionV relativeFrom="paragraph">
              <wp:posOffset>106656</wp:posOffset>
            </wp:positionV>
            <wp:extent cx="4727276" cy="2398143"/>
            <wp:effectExtent l="0" t="0" r="0" b="0"/>
            <wp:wrapNone/>
            <wp:docPr id="21"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b/>
          <w:bCs/>
          <w:sz w:val="24"/>
          <w:szCs w:val="24"/>
        </w:rPr>
        <w:t>Fig 5</w:t>
      </w:r>
      <w:r w:rsidR="002368A8">
        <w:rPr>
          <w:b/>
          <w:bCs/>
          <w:sz w:val="24"/>
          <w:szCs w:val="24"/>
        </w:rPr>
        <w:t>:</w:t>
      </w:r>
      <w:r>
        <w:rPr>
          <w:b/>
          <w:bCs/>
          <w:sz w:val="24"/>
          <w:szCs w:val="24"/>
        </w:rPr>
        <w:t xml:space="preserve">       </w:t>
      </w:r>
      <w:r w:rsidRPr="00A80DD2">
        <w:rPr>
          <w:bCs/>
          <w:sz w:val="24"/>
          <w:szCs w:val="24"/>
          <w:u w:val="single"/>
        </w:rPr>
        <w:t>Screen-Detected Prostate Cancer Prevalence (%)</w:t>
      </w:r>
    </w:p>
    <w:p w:rsidR="00160ED3" w:rsidRDefault="00160ED3" w:rsidP="00160ED3">
      <w:pPr>
        <w:rPr>
          <w:sz w:val="24"/>
          <w:szCs w:val="24"/>
        </w:rPr>
      </w:pPr>
    </w:p>
    <w:p w:rsidR="00160ED3" w:rsidRDefault="00160ED3" w:rsidP="00160ED3">
      <w:pPr>
        <w:rPr>
          <w:sz w:val="24"/>
          <w:szCs w:val="24"/>
        </w:rPr>
      </w:pPr>
    </w:p>
    <w:p w:rsidR="00160ED3" w:rsidRDefault="00160ED3" w:rsidP="00160ED3">
      <w:pPr>
        <w:rPr>
          <w:sz w:val="24"/>
          <w:szCs w:val="24"/>
        </w:rPr>
      </w:pPr>
    </w:p>
    <w:p w:rsidR="00160ED3" w:rsidRDefault="00160ED3" w:rsidP="00160ED3">
      <w:pPr>
        <w:rPr>
          <w:sz w:val="24"/>
          <w:szCs w:val="24"/>
        </w:rPr>
      </w:pPr>
    </w:p>
    <w:p w:rsidR="00160ED3" w:rsidRDefault="00160ED3" w:rsidP="00160ED3">
      <w:pPr>
        <w:rPr>
          <w:sz w:val="24"/>
          <w:szCs w:val="24"/>
        </w:rPr>
      </w:pPr>
    </w:p>
    <w:p w:rsidR="00160ED3" w:rsidRDefault="00160ED3" w:rsidP="00160ED3">
      <w:pPr>
        <w:rPr>
          <w:sz w:val="24"/>
          <w:szCs w:val="24"/>
        </w:rPr>
      </w:pPr>
    </w:p>
    <w:p w:rsidR="00160ED3" w:rsidRDefault="00160ED3" w:rsidP="00160ED3">
      <w:pPr>
        <w:rPr>
          <w:i/>
        </w:rPr>
      </w:pPr>
      <w:r>
        <w:rPr>
          <w:i/>
        </w:rPr>
        <w:t xml:space="preserve"> </w:t>
      </w:r>
    </w:p>
    <w:p w:rsidR="00160ED3" w:rsidRPr="00F321D4" w:rsidRDefault="00160ED3" w:rsidP="00160ED3">
      <w:r>
        <w:rPr>
          <w:i/>
        </w:rPr>
        <w:t xml:space="preserve">Ref </w:t>
      </w:r>
      <w:r w:rsidRPr="00A80DD2">
        <w:rPr>
          <w:i/>
        </w:rPr>
        <w:t>Prostate, lung, colorectal and Ovarian (PLCO) Cancer screening Trial (Andriole 2005)</w:t>
      </w:r>
      <w:r w:rsidRPr="00966284">
        <w:rPr>
          <w:i/>
          <w:vertAlign w:val="superscript"/>
        </w:rPr>
        <w:t>4</w:t>
      </w:r>
      <w:r w:rsidR="00C80E58">
        <w:rPr>
          <w:i/>
          <w:vertAlign w:val="superscript"/>
        </w:rPr>
        <w:t>3</w:t>
      </w:r>
      <w:r>
        <w:rPr>
          <w:i/>
        </w:rPr>
        <w:t>, South Carolina</w:t>
      </w:r>
      <w:r w:rsidRPr="00A80DD2">
        <w:rPr>
          <w:i/>
        </w:rPr>
        <w:t>(Weinrich 1998)</w:t>
      </w:r>
      <w:r w:rsidR="00C80E58">
        <w:rPr>
          <w:i/>
          <w:vertAlign w:val="superscript"/>
        </w:rPr>
        <w:t>44</w:t>
      </w:r>
      <w:r w:rsidRPr="00A80DD2">
        <w:rPr>
          <w:i/>
        </w:rPr>
        <w:t xml:space="preserve">, Flint </w:t>
      </w:r>
      <w:r w:rsidR="00C80E58">
        <w:rPr>
          <w:i/>
        </w:rPr>
        <w:t>Men’s Health Study (Cooney 2001)</w:t>
      </w:r>
      <w:r w:rsidR="00C80E58" w:rsidRPr="00C80E58">
        <w:rPr>
          <w:i/>
          <w:vertAlign w:val="superscript"/>
        </w:rPr>
        <w:t>45</w:t>
      </w:r>
      <w:r w:rsidRPr="00A80DD2">
        <w:rPr>
          <w:i/>
        </w:rPr>
        <w:t>, Detroit Education and Early detection (DEED) study (Powell 1997)</w:t>
      </w:r>
      <w:r w:rsidR="00C80E58">
        <w:rPr>
          <w:i/>
          <w:vertAlign w:val="superscript"/>
        </w:rPr>
        <w:t>46</w:t>
      </w:r>
      <w:r w:rsidRPr="00A80DD2">
        <w:rPr>
          <w:i/>
        </w:rPr>
        <w:t>, St. Louis Missouri (Smith 1996)</w:t>
      </w:r>
      <w:r w:rsidR="00C80E58">
        <w:rPr>
          <w:i/>
          <w:vertAlign w:val="superscript"/>
        </w:rPr>
        <w:t>47</w:t>
      </w:r>
      <w:r>
        <w:rPr>
          <w:i/>
        </w:rPr>
        <w:t>,</w:t>
      </w:r>
      <w:r w:rsidRPr="00A80DD2">
        <w:rPr>
          <w:i/>
        </w:rPr>
        <w:t xml:space="preserve"> Tobago Prostate Cancer Survey (Bunker 2002)</w:t>
      </w:r>
      <w:r w:rsidR="00C80E58">
        <w:rPr>
          <w:i/>
          <w:vertAlign w:val="superscript"/>
        </w:rPr>
        <w:t>48</w:t>
      </w:r>
      <w:r>
        <w:rPr>
          <w:i/>
        </w:rPr>
        <w:t xml:space="preserve"> ,</w:t>
      </w:r>
      <w:r w:rsidRPr="00F321D4">
        <w:rPr>
          <w:i/>
        </w:rPr>
        <w:t>Ann Hsing 2014</w:t>
      </w:r>
      <w:r w:rsidR="00C80E58">
        <w:rPr>
          <w:i/>
          <w:vertAlign w:val="superscript"/>
        </w:rPr>
        <w:t>20</w:t>
      </w:r>
    </w:p>
    <w:p w:rsidR="00386012" w:rsidRDefault="00386012" w:rsidP="00620A8A">
      <w:pPr>
        <w:spacing w:after="0"/>
        <w:rPr>
          <w:bCs/>
          <w:i/>
          <w:sz w:val="24"/>
          <w:szCs w:val="24"/>
          <w:u w:val="single"/>
        </w:rPr>
      </w:pPr>
    </w:p>
    <w:p w:rsidR="00386012" w:rsidRDefault="00386012" w:rsidP="00620A8A">
      <w:pPr>
        <w:spacing w:after="0"/>
        <w:rPr>
          <w:bCs/>
          <w:i/>
          <w:sz w:val="24"/>
          <w:szCs w:val="24"/>
          <w:u w:val="single"/>
        </w:rPr>
      </w:pPr>
    </w:p>
    <w:p w:rsidR="00386012" w:rsidRDefault="00386012" w:rsidP="00620A8A">
      <w:pPr>
        <w:spacing w:after="0"/>
        <w:rPr>
          <w:bCs/>
          <w:i/>
          <w:sz w:val="24"/>
          <w:szCs w:val="24"/>
          <w:u w:val="single"/>
        </w:rPr>
      </w:pPr>
    </w:p>
    <w:p w:rsidR="00160ED3" w:rsidRDefault="00160ED3" w:rsidP="00620A8A">
      <w:pPr>
        <w:spacing w:after="0"/>
        <w:rPr>
          <w:bCs/>
          <w:i/>
          <w:sz w:val="24"/>
          <w:szCs w:val="24"/>
          <w:u w:val="single"/>
        </w:rPr>
      </w:pPr>
    </w:p>
    <w:p w:rsidR="00160ED3" w:rsidRDefault="00160ED3"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593D11" w:rsidRDefault="00593D11" w:rsidP="00620A8A">
      <w:pPr>
        <w:spacing w:after="0"/>
        <w:rPr>
          <w:bCs/>
          <w:i/>
          <w:sz w:val="24"/>
          <w:szCs w:val="24"/>
          <w:u w:val="single"/>
        </w:rPr>
      </w:pPr>
    </w:p>
    <w:p w:rsidR="00C80E58" w:rsidRDefault="00C80E58" w:rsidP="00620A8A">
      <w:pPr>
        <w:spacing w:after="0"/>
        <w:rPr>
          <w:b/>
          <w:bCs/>
          <w:i/>
          <w:sz w:val="24"/>
          <w:szCs w:val="24"/>
          <w:u w:val="single"/>
        </w:rPr>
      </w:pPr>
    </w:p>
    <w:p w:rsidR="00620A8A" w:rsidRPr="002368A8" w:rsidRDefault="00593D11" w:rsidP="00620A8A">
      <w:pPr>
        <w:spacing w:after="0"/>
        <w:rPr>
          <w:b/>
          <w:bCs/>
          <w:sz w:val="24"/>
          <w:szCs w:val="24"/>
        </w:rPr>
      </w:pPr>
      <w:r w:rsidRPr="002368A8">
        <w:rPr>
          <w:b/>
          <w:bCs/>
          <w:sz w:val="24"/>
          <w:szCs w:val="24"/>
        </w:rPr>
        <w:t xml:space="preserve">References </w:t>
      </w:r>
      <w:bookmarkStart w:id="0" w:name="_GoBack"/>
      <w:bookmarkEnd w:id="0"/>
    </w:p>
    <w:p w:rsidR="00620A8A" w:rsidRDefault="00620A8A" w:rsidP="00620A8A">
      <w:pPr>
        <w:spacing w:after="0"/>
        <w:rPr>
          <w:bCs/>
          <w:sz w:val="24"/>
          <w:szCs w:val="24"/>
        </w:rPr>
      </w:pPr>
    </w:p>
    <w:p w:rsidR="00620A8A" w:rsidRPr="0036027B" w:rsidRDefault="00620A8A" w:rsidP="00BA7440">
      <w:pPr>
        <w:pStyle w:val="ListParagraph"/>
        <w:numPr>
          <w:ilvl w:val="0"/>
          <w:numId w:val="5"/>
        </w:numPr>
        <w:spacing w:after="0"/>
        <w:rPr>
          <w:bCs/>
        </w:rPr>
      </w:pPr>
      <w:r w:rsidRPr="0036027B">
        <w:rPr>
          <w:bCs/>
        </w:rPr>
        <w:t>McNeal JE (1969), “Origins and development of cancer in the Prostate Gland” CANCER 1969 23. P24 – 34.</w:t>
      </w:r>
    </w:p>
    <w:p w:rsidR="00620A8A" w:rsidRPr="0036027B" w:rsidRDefault="00620A8A" w:rsidP="00620A8A">
      <w:pPr>
        <w:pStyle w:val="ListParagraph"/>
        <w:numPr>
          <w:ilvl w:val="0"/>
          <w:numId w:val="5"/>
        </w:numPr>
        <w:spacing w:after="0"/>
        <w:rPr>
          <w:bCs/>
        </w:rPr>
      </w:pPr>
      <w:r w:rsidRPr="0036027B">
        <w:rPr>
          <w:bCs/>
        </w:rPr>
        <w:t xml:space="preserve">McNeal JE (1990), “Pathology in BPH insight into aetiology review Urological clinics of North America” 1990 Vol 17 p447 – 486 </w:t>
      </w:r>
    </w:p>
    <w:p w:rsidR="00620A8A" w:rsidRPr="0036027B" w:rsidRDefault="00620A8A" w:rsidP="00620A8A">
      <w:pPr>
        <w:pStyle w:val="ListParagraph"/>
        <w:numPr>
          <w:ilvl w:val="0"/>
          <w:numId w:val="5"/>
        </w:numPr>
        <w:spacing w:after="0"/>
        <w:rPr>
          <w:bCs/>
        </w:rPr>
      </w:pPr>
      <w:r w:rsidRPr="0036027B">
        <w:rPr>
          <w:bCs/>
        </w:rPr>
        <w:t>Barry MJ (1990a), “Epidemiology of Benign prostatic hyperplasia”. Urol Clin North America 1990a: 17 p495 – 507</w:t>
      </w:r>
    </w:p>
    <w:p w:rsidR="00620A8A" w:rsidRPr="0036027B" w:rsidRDefault="00620A8A" w:rsidP="00620A8A">
      <w:pPr>
        <w:pStyle w:val="ListParagraph"/>
        <w:numPr>
          <w:ilvl w:val="0"/>
          <w:numId w:val="5"/>
        </w:numPr>
        <w:spacing w:after="0"/>
        <w:rPr>
          <w:bCs/>
        </w:rPr>
      </w:pPr>
      <w:r w:rsidRPr="0036027B">
        <w:rPr>
          <w:bCs/>
        </w:rPr>
        <w:t>Barry MJ (1990b), “Medical Outcomes of research and benign prostatic hyperplasia”.  PROSTATE 1990 6:3(Suppl) p61 – 74</w:t>
      </w:r>
    </w:p>
    <w:p w:rsidR="00E51EB6" w:rsidRPr="0036027B" w:rsidRDefault="00E51EB6" w:rsidP="00E51EB6">
      <w:pPr>
        <w:pStyle w:val="ListParagraph"/>
        <w:numPr>
          <w:ilvl w:val="0"/>
          <w:numId w:val="5"/>
        </w:numPr>
        <w:spacing w:after="0"/>
        <w:rPr>
          <w:bCs/>
        </w:rPr>
      </w:pPr>
      <w:r w:rsidRPr="0036027B">
        <w:rPr>
          <w:bCs/>
        </w:rPr>
        <w:t xml:space="preserve">Bosch JL, Hop WC, Kirkels WJ, Shrodder FH (1995), “The International Prostate Symptom Score in community based sample of men between 55 – 74 years of age prevalence and correlation with age, prostate volume, flow rate and residual volume”. Brit J Urol 1995:75 p 622 – 630 </w:t>
      </w:r>
    </w:p>
    <w:p w:rsidR="00620A8A" w:rsidRPr="0036027B" w:rsidRDefault="00620A8A" w:rsidP="00620A8A">
      <w:pPr>
        <w:pStyle w:val="ListParagraph"/>
        <w:numPr>
          <w:ilvl w:val="0"/>
          <w:numId w:val="5"/>
        </w:numPr>
        <w:spacing w:after="0"/>
        <w:rPr>
          <w:bCs/>
        </w:rPr>
      </w:pPr>
      <w:r w:rsidRPr="0036027B">
        <w:rPr>
          <w:bCs/>
        </w:rPr>
        <w:t>Armenian H, Lechenfield AM, Diamond EL, Bross ID (1974), “Relation between benign prostatic hyperplasia and cancer of prostate – A Prospective and Retrospective Study.” LANCET Vol 304 No 7873 p115 – 117</w:t>
      </w:r>
    </w:p>
    <w:p w:rsidR="00620A8A" w:rsidRPr="0036027B" w:rsidRDefault="00A427AD" w:rsidP="00620A8A">
      <w:pPr>
        <w:pStyle w:val="ListParagraph"/>
        <w:numPr>
          <w:ilvl w:val="0"/>
          <w:numId w:val="5"/>
        </w:numPr>
        <w:spacing w:after="0"/>
        <w:rPr>
          <w:bCs/>
        </w:rPr>
      </w:pPr>
      <w:r w:rsidRPr="0036027B">
        <w:rPr>
          <w:bCs/>
        </w:rPr>
        <w:t>Boswick DG, Cooner WH, Denis</w:t>
      </w:r>
      <w:r w:rsidR="00620A8A" w:rsidRPr="0036027B">
        <w:rPr>
          <w:bCs/>
        </w:rPr>
        <w:t xml:space="preserve"> L, Jones GW, Scardino PT, Murphy GP, (1992), “The association of benign prostatic hyperplasia and cancer of the prostate”.  CANCER 1992 70 (Suppl) p291 – 301 </w:t>
      </w:r>
    </w:p>
    <w:p w:rsidR="00620A8A" w:rsidRPr="0036027B" w:rsidRDefault="00620A8A" w:rsidP="00620A8A">
      <w:pPr>
        <w:pStyle w:val="ListParagraph"/>
        <w:numPr>
          <w:ilvl w:val="0"/>
          <w:numId w:val="5"/>
        </w:numPr>
        <w:spacing w:after="0"/>
        <w:rPr>
          <w:bCs/>
        </w:rPr>
      </w:pPr>
      <w:r w:rsidRPr="0036027B">
        <w:rPr>
          <w:bCs/>
        </w:rPr>
        <w:t>Suzuki Kazuhiro (2009), “Epidemiology of Prostate cancer and benign prostatic hyperplasia”.  JMAJ 52 (6) p478 – 483</w:t>
      </w:r>
    </w:p>
    <w:p w:rsidR="00620A8A" w:rsidRPr="0036027B" w:rsidRDefault="00620A8A" w:rsidP="00620A8A">
      <w:pPr>
        <w:pStyle w:val="ListParagraph"/>
        <w:numPr>
          <w:ilvl w:val="0"/>
          <w:numId w:val="5"/>
        </w:numPr>
        <w:spacing w:after="0"/>
        <w:rPr>
          <w:bCs/>
        </w:rPr>
      </w:pPr>
      <w:r w:rsidRPr="0036027B">
        <w:rPr>
          <w:bCs/>
        </w:rPr>
        <w:t>Roehrbron CG, Bryle P, Gould AC, Waldetrecher J, (1999), “Serum prostate specific antigens predictor of prostate volume in men with benign prostatic hyperplasia”, Urology 1999:53:p581 – 589</w:t>
      </w:r>
    </w:p>
    <w:p w:rsidR="00E51EB6" w:rsidRPr="0036027B" w:rsidRDefault="00E51EB6" w:rsidP="00620A8A">
      <w:pPr>
        <w:pStyle w:val="ListParagraph"/>
        <w:numPr>
          <w:ilvl w:val="0"/>
          <w:numId w:val="5"/>
        </w:numPr>
        <w:spacing w:after="0"/>
        <w:rPr>
          <w:bCs/>
        </w:rPr>
      </w:pPr>
      <w:r w:rsidRPr="0036027B">
        <w:rPr>
          <w:bCs/>
        </w:rPr>
        <w:t xml:space="preserve">Prevalence of disease (BPH) using autopsy series, clinical diagnosis, low flow rate, palpable enlargement by DRE and community based studies. Baltimore Longitudinal study on aging </w:t>
      </w:r>
      <w:r w:rsidR="004F26D2" w:rsidRPr="0036027B">
        <w:rPr>
          <w:bCs/>
        </w:rPr>
        <w:t>2001 (Berry 1984, Galloway 1993, Gu et al 1994, Jolley 1993, Bosch 1995a, Guess 1995, Moon 1991, Overlad 2001)</w:t>
      </w:r>
    </w:p>
    <w:p w:rsidR="00620A8A" w:rsidRPr="0036027B" w:rsidRDefault="00620A8A" w:rsidP="00620A8A">
      <w:pPr>
        <w:pStyle w:val="ListParagraph"/>
        <w:numPr>
          <w:ilvl w:val="0"/>
          <w:numId w:val="5"/>
        </w:numPr>
        <w:spacing w:after="0"/>
        <w:rPr>
          <w:bCs/>
        </w:rPr>
      </w:pPr>
      <w:r w:rsidRPr="0036027B">
        <w:rPr>
          <w:bCs/>
        </w:rPr>
        <w:t>South African Urological Association (2006), “Management of BPH”.  SAMJ Vol 96 no 12 p1275 – 1280</w:t>
      </w:r>
    </w:p>
    <w:p w:rsidR="00620A8A" w:rsidRPr="0036027B" w:rsidRDefault="00620A8A" w:rsidP="00620A8A">
      <w:pPr>
        <w:pStyle w:val="ListParagraph"/>
        <w:numPr>
          <w:ilvl w:val="0"/>
          <w:numId w:val="5"/>
        </w:numPr>
        <w:spacing w:after="0"/>
        <w:rPr>
          <w:bCs/>
        </w:rPr>
      </w:pPr>
      <w:r w:rsidRPr="0036027B">
        <w:rPr>
          <w:bCs/>
        </w:rPr>
        <w:t>AUA Practice Guidelines Committee of American Urological Association.  “Guidelines on management of BPH”.  J Urol 2003:170 p530 – 547</w:t>
      </w:r>
    </w:p>
    <w:p w:rsidR="00620A8A" w:rsidRPr="0036027B" w:rsidRDefault="00620A8A" w:rsidP="00620A8A">
      <w:pPr>
        <w:pStyle w:val="ListParagraph"/>
        <w:numPr>
          <w:ilvl w:val="0"/>
          <w:numId w:val="5"/>
        </w:numPr>
        <w:spacing w:after="0"/>
        <w:rPr>
          <w:bCs/>
        </w:rPr>
      </w:pPr>
      <w:r w:rsidRPr="0036027B">
        <w:rPr>
          <w:bCs/>
        </w:rPr>
        <w:t>Paulson DF, (1988), “Randomised series of treatment with surgery vs radiation for prostate adenocarcinoma”.  NCI Monogr 1988 p137 – 413</w:t>
      </w:r>
    </w:p>
    <w:p w:rsidR="00620A8A" w:rsidRPr="0036027B" w:rsidRDefault="00620A8A" w:rsidP="00620A8A">
      <w:pPr>
        <w:pStyle w:val="ListParagraph"/>
        <w:numPr>
          <w:ilvl w:val="0"/>
          <w:numId w:val="5"/>
        </w:numPr>
        <w:spacing w:after="0"/>
        <w:rPr>
          <w:bCs/>
        </w:rPr>
      </w:pPr>
      <w:r w:rsidRPr="0036027B">
        <w:rPr>
          <w:bCs/>
        </w:rPr>
        <w:t>Schroder FH, Roacha M, Scordino P, (2008), “Clinical decision making in management of prostate cancer”, New Engl J Medicine 2008:3592:2602-2609</w:t>
      </w:r>
    </w:p>
    <w:p w:rsidR="00620A8A" w:rsidRPr="0036027B" w:rsidRDefault="00620A8A" w:rsidP="00620A8A">
      <w:pPr>
        <w:pStyle w:val="ListParagraph"/>
        <w:numPr>
          <w:ilvl w:val="0"/>
          <w:numId w:val="5"/>
        </w:numPr>
        <w:spacing w:after="0"/>
        <w:rPr>
          <w:bCs/>
        </w:rPr>
      </w:pPr>
      <w:r w:rsidRPr="0036027B">
        <w:rPr>
          <w:bCs/>
        </w:rPr>
        <w:t>Yeboah ED, Mante SD, Klufio GO, Kyei MY, Mensah JE, (2000), “Changing Patterns of acute Retention of Urine”, BJ Urol Int Vol 86 Suppl 3 p99</w:t>
      </w:r>
    </w:p>
    <w:p w:rsidR="00620A8A" w:rsidRPr="0036027B" w:rsidRDefault="00620A8A" w:rsidP="00620A8A">
      <w:pPr>
        <w:pStyle w:val="ListParagraph"/>
        <w:numPr>
          <w:ilvl w:val="0"/>
          <w:numId w:val="5"/>
        </w:numPr>
        <w:spacing w:after="0"/>
        <w:rPr>
          <w:bCs/>
        </w:rPr>
      </w:pPr>
      <w:r w:rsidRPr="0036027B">
        <w:rPr>
          <w:bCs/>
        </w:rPr>
        <w:t>Mante SD, Yeboah ED, Adusei B, Klufio GO, Gepi-Attee S, Kyei MY, Mensah JE, “Changing patterns of causes of haematuria in Ghana”, Postgraduate Medic</w:t>
      </w:r>
      <w:r w:rsidR="00A427AD" w:rsidRPr="0036027B">
        <w:rPr>
          <w:bCs/>
        </w:rPr>
        <w:t>al Journal  Ghana in Press (2016</w:t>
      </w:r>
      <w:r w:rsidRPr="0036027B">
        <w:rPr>
          <w:bCs/>
        </w:rPr>
        <w:t>)</w:t>
      </w:r>
    </w:p>
    <w:p w:rsidR="004F26D2" w:rsidRPr="0036027B" w:rsidRDefault="004F26D2" w:rsidP="00620A8A">
      <w:pPr>
        <w:pStyle w:val="ListParagraph"/>
        <w:numPr>
          <w:ilvl w:val="0"/>
          <w:numId w:val="5"/>
        </w:numPr>
        <w:spacing w:after="0"/>
        <w:rPr>
          <w:bCs/>
        </w:rPr>
      </w:pPr>
      <w:r w:rsidRPr="0036027B">
        <w:rPr>
          <w:bCs/>
        </w:rPr>
        <w:t xml:space="preserve">Yeboah ED (2013), “JB Danquah Memorial Lecture – GAAS Series 42” p86 – 100 </w:t>
      </w:r>
    </w:p>
    <w:p w:rsidR="00620A8A" w:rsidRPr="0036027B" w:rsidRDefault="00620A8A" w:rsidP="00620A8A">
      <w:pPr>
        <w:pStyle w:val="ListParagraph"/>
        <w:numPr>
          <w:ilvl w:val="0"/>
          <w:numId w:val="5"/>
        </w:numPr>
        <w:spacing w:after="0"/>
        <w:rPr>
          <w:bCs/>
        </w:rPr>
      </w:pPr>
      <w:r w:rsidRPr="0036027B">
        <w:rPr>
          <w:bCs/>
        </w:rPr>
        <w:lastRenderedPageBreak/>
        <w:t xml:space="preserve">Chokkalingam AP, Yeboah ED, De Marzo A, Netto G, Yu K, Biritwum RB, Tettey Y, Adjei A, Jadallah S, Li Y, Chu LW, Niwa S, Partin A, Thompson IM, Roehborn C, Hoover RN and Hsing AW (2011), “Prevalence of BPH and lower urinary tract symptoms in West </w:t>
      </w:r>
      <w:r w:rsidRPr="0036027B">
        <w:rPr>
          <w:bCs/>
        </w:rPr>
        <w:br/>
        <w:t xml:space="preserve">Africans”, Prostate cancer and prostatic diseases 2011:p1 – 12 </w:t>
      </w:r>
    </w:p>
    <w:p w:rsidR="00620A8A" w:rsidRPr="0036027B" w:rsidRDefault="00620A8A" w:rsidP="00620A8A">
      <w:pPr>
        <w:pStyle w:val="ListParagraph"/>
        <w:numPr>
          <w:ilvl w:val="0"/>
          <w:numId w:val="5"/>
        </w:numPr>
        <w:spacing w:after="0"/>
        <w:rPr>
          <w:bCs/>
        </w:rPr>
      </w:pPr>
      <w:r w:rsidRPr="0036027B">
        <w:rPr>
          <w:bCs/>
        </w:rPr>
        <w:t xml:space="preserve">Yeboah ED, Hsing AW, Tettey Y, Biritwum RB, Adjei AA, (2009), “Prostate cancer screening in Ghana”, Urol Vol 74 Suppl 1 no 4p200 – 201 </w:t>
      </w:r>
    </w:p>
    <w:p w:rsidR="00620A8A" w:rsidRPr="0036027B" w:rsidRDefault="00620A8A" w:rsidP="00620A8A">
      <w:pPr>
        <w:pStyle w:val="ListParagraph"/>
        <w:numPr>
          <w:ilvl w:val="0"/>
          <w:numId w:val="5"/>
        </w:numPr>
        <w:spacing w:after="0"/>
        <w:rPr>
          <w:bCs/>
        </w:rPr>
      </w:pPr>
      <w:r w:rsidRPr="0036027B">
        <w:rPr>
          <w:bCs/>
        </w:rPr>
        <w:t xml:space="preserve">Hsing AW, Yeboah ED, Biritwum RB, Tettey Y, Adjei A, et al (2014), “High prevalence of screen detected prostate cancer in West African Men, Implications for Racial Disparity in Prostate Cancer”, J Urol Vol 192 (3) p730 – 735 </w:t>
      </w:r>
    </w:p>
    <w:p w:rsidR="00620A8A" w:rsidRPr="0036027B" w:rsidRDefault="00620A8A" w:rsidP="00620A8A">
      <w:pPr>
        <w:pStyle w:val="ListParagraph"/>
        <w:numPr>
          <w:ilvl w:val="0"/>
          <w:numId w:val="5"/>
        </w:numPr>
        <w:spacing w:after="0"/>
        <w:rPr>
          <w:bCs/>
        </w:rPr>
      </w:pPr>
      <w:r w:rsidRPr="0036027B">
        <w:rPr>
          <w:bCs/>
        </w:rPr>
        <w:t>Richey J, Biritwum RB, Yeboah ED, Tettey Y, Adjei A, Chokkalingam AP, Quraishi S, Hsing AW (2008), “Body size and other epidemiologic characteristics in West African Men, Implications for Racial Disparity in Prostate Cancer”, American Journal of Epidemiology p</w:t>
      </w:r>
    </w:p>
    <w:p w:rsidR="00620A8A" w:rsidRPr="0036027B" w:rsidRDefault="00620A8A" w:rsidP="00620A8A">
      <w:pPr>
        <w:pStyle w:val="ListParagraph"/>
        <w:numPr>
          <w:ilvl w:val="0"/>
          <w:numId w:val="5"/>
        </w:numPr>
        <w:spacing w:after="0"/>
        <w:rPr>
          <w:bCs/>
        </w:rPr>
      </w:pPr>
      <w:r w:rsidRPr="0036027B">
        <w:rPr>
          <w:bCs/>
        </w:rPr>
        <w:t>Chung CC, Hsing AW, Yeboah ED, Biritwum RB, Tettey Y, Adjei AA</w:t>
      </w:r>
      <w:r w:rsidR="00A427AD" w:rsidRPr="0036027B">
        <w:rPr>
          <w:bCs/>
        </w:rPr>
        <w:t>, Cook MB, Merzo AD,</w:t>
      </w:r>
      <w:r w:rsidRPr="0036027B">
        <w:rPr>
          <w:bCs/>
        </w:rPr>
        <w:t xml:space="preserve"> et al (2014), “Comprehensive resequence analysis of 250kb region of 8q24.1 in men with African Ancestry”, Prostate 74:579 – 589 </w:t>
      </w:r>
    </w:p>
    <w:p w:rsidR="00620A8A" w:rsidRPr="0036027B" w:rsidRDefault="00A427AD" w:rsidP="00620A8A">
      <w:pPr>
        <w:pStyle w:val="ListParagraph"/>
        <w:numPr>
          <w:ilvl w:val="0"/>
          <w:numId w:val="5"/>
        </w:numPr>
        <w:spacing w:after="0"/>
        <w:rPr>
          <w:bCs/>
        </w:rPr>
      </w:pPr>
      <w:r w:rsidRPr="0036027B">
        <w:rPr>
          <w:bCs/>
        </w:rPr>
        <w:t>Chang BL, Spangher E, Haiman CA, Henderson B, William N, Benford MA,  Hsing AW et al (</w:t>
      </w:r>
      <w:r w:rsidR="00620A8A" w:rsidRPr="0036027B">
        <w:rPr>
          <w:bCs/>
        </w:rPr>
        <w:t xml:space="preserve">2011), “Validation of Genome wide prostate cancer Association in men of African Descent”, Cancer Epidemiology Biomarkers + Prevention 20(1) p23 – 32 </w:t>
      </w:r>
    </w:p>
    <w:p w:rsidR="00620A8A" w:rsidRPr="0036027B" w:rsidRDefault="00620A8A" w:rsidP="00620A8A">
      <w:pPr>
        <w:pStyle w:val="ListParagraph"/>
        <w:numPr>
          <w:ilvl w:val="0"/>
          <w:numId w:val="5"/>
        </w:numPr>
        <w:spacing w:after="0"/>
        <w:rPr>
          <w:bCs/>
        </w:rPr>
      </w:pPr>
      <w:r w:rsidRPr="0036027B">
        <w:rPr>
          <w:bCs/>
        </w:rPr>
        <w:t xml:space="preserve">Cook MB, Wang Z, Yeboah ED, Adjei AA, Tettey Y, Biritwum RB et al, “Genome wide Association study of PC in West African Men”.  Hum Gene A Vol 13:133 (5) p509 – 521 </w:t>
      </w:r>
    </w:p>
    <w:p w:rsidR="00620A8A" w:rsidRPr="0036027B" w:rsidRDefault="00620A8A" w:rsidP="00620A8A">
      <w:pPr>
        <w:pStyle w:val="ListParagraph"/>
        <w:numPr>
          <w:ilvl w:val="0"/>
          <w:numId w:val="5"/>
        </w:numPr>
        <w:spacing w:after="0"/>
        <w:rPr>
          <w:bCs/>
        </w:rPr>
      </w:pPr>
      <w:r w:rsidRPr="0036027B">
        <w:rPr>
          <w:bCs/>
        </w:rPr>
        <w:t xml:space="preserve">Wang G, </w:t>
      </w:r>
      <w:r w:rsidR="00A427AD" w:rsidRPr="0036027B">
        <w:rPr>
          <w:bCs/>
        </w:rPr>
        <w:t xml:space="preserve">Cook MB, Zu B, Zhang M, Adjei AA, Biritwum RB, </w:t>
      </w:r>
      <w:r w:rsidR="0036027B" w:rsidRPr="0036027B">
        <w:rPr>
          <w:bCs/>
        </w:rPr>
        <w:t xml:space="preserve">… Hsing AW, </w:t>
      </w:r>
      <w:r w:rsidRPr="0036027B">
        <w:rPr>
          <w:bCs/>
        </w:rPr>
        <w:t xml:space="preserve">Yeboah ED, </w:t>
      </w:r>
      <w:r w:rsidR="0036027B" w:rsidRPr="0036027B">
        <w:rPr>
          <w:bCs/>
        </w:rPr>
        <w:t xml:space="preserve">et al </w:t>
      </w:r>
      <w:r w:rsidRPr="0036027B">
        <w:rPr>
          <w:bCs/>
        </w:rPr>
        <w:t>(2014), “Imputation and subset based association, analysis across different cancer identifies multiple independent risk loci in TERTcLPML of chromosome 5p15.33”, Human Molecular Genetics 2014 p1 – 18</w:t>
      </w:r>
    </w:p>
    <w:p w:rsidR="00620A8A" w:rsidRPr="0036027B" w:rsidRDefault="00620A8A" w:rsidP="00620A8A">
      <w:pPr>
        <w:pStyle w:val="ListParagraph"/>
        <w:numPr>
          <w:ilvl w:val="0"/>
          <w:numId w:val="5"/>
        </w:numPr>
        <w:spacing w:after="0"/>
        <w:rPr>
          <w:bCs/>
        </w:rPr>
      </w:pPr>
      <w:r w:rsidRPr="0036027B">
        <w:rPr>
          <w:bCs/>
        </w:rPr>
        <w:t xml:space="preserve">AL Olama AA, Kote Jarez, Brendt, </w:t>
      </w:r>
      <w:r w:rsidR="0036027B" w:rsidRPr="0036027B">
        <w:rPr>
          <w:bCs/>
        </w:rPr>
        <w:t xml:space="preserve">Schumacher F, Bealtoch S, Hazelett DJ, Wang Z, … </w:t>
      </w:r>
      <w:r w:rsidRPr="0036027B">
        <w:rPr>
          <w:bCs/>
        </w:rPr>
        <w:t xml:space="preserve">Yeboah ED, Biritwum RB, Tettey Y, Adjei AA et al (2014), “A meta analysis  of 87,040 cases of PC indentifies 23 susceptibility cocci” Prostate cancer Nat Genet 460 p103 – 1109 </w:t>
      </w:r>
    </w:p>
    <w:p w:rsidR="00620A8A" w:rsidRPr="0036027B" w:rsidRDefault="00620A8A" w:rsidP="00620A8A">
      <w:pPr>
        <w:pStyle w:val="ListParagraph"/>
        <w:numPr>
          <w:ilvl w:val="0"/>
          <w:numId w:val="5"/>
        </w:numPr>
        <w:spacing w:after="0"/>
        <w:rPr>
          <w:bCs/>
        </w:rPr>
      </w:pPr>
      <w:r w:rsidRPr="0036027B">
        <w:rPr>
          <w:bCs/>
        </w:rPr>
        <w:t>Haiman CA, Chen GK, Yeboah ED, Tettey Y, Adjei AA, Biritwum RB et al (2011), “Genome wide association study of prostate cancer in Men of African Ancestry identifies locus 17q21” Nature Genetics (2011) p570 – 573</w:t>
      </w:r>
    </w:p>
    <w:p w:rsidR="00620A8A" w:rsidRPr="0036027B" w:rsidRDefault="00620A8A" w:rsidP="00620A8A">
      <w:pPr>
        <w:pStyle w:val="ListParagraph"/>
        <w:numPr>
          <w:ilvl w:val="0"/>
          <w:numId w:val="5"/>
        </w:numPr>
        <w:spacing w:after="0"/>
        <w:rPr>
          <w:bCs/>
        </w:rPr>
      </w:pPr>
      <w:r w:rsidRPr="0036027B">
        <w:rPr>
          <w:bCs/>
        </w:rPr>
        <w:t>Ferlay J, Soerjomataram J, Evik M, Dikshit R, Eser S, Mathers C, Rebelo M, Pa</w:t>
      </w:r>
      <w:r w:rsidR="004F26D2" w:rsidRPr="0036027B">
        <w:rPr>
          <w:bCs/>
        </w:rPr>
        <w:t>rkin DM, Forman D, Bray F GLOBO</w:t>
      </w:r>
      <w:r w:rsidRPr="0036027B">
        <w:rPr>
          <w:bCs/>
        </w:rPr>
        <w:t>CAN</w:t>
      </w:r>
      <w:r w:rsidR="004F26D2" w:rsidRPr="0036027B">
        <w:rPr>
          <w:bCs/>
        </w:rPr>
        <w:t xml:space="preserve"> (2012) vi</w:t>
      </w:r>
      <w:r w:rsidRPr="0036027B">
        <w:rPr>
          <w:bCs/>
        </w:rPr>
        <w:t xml:space="preserve"> </w:t>
      </w:r>
      <w:r w:rsidR="004F26D2" w:rsidRPr="0036027B">
        <w:rPr>
          <w:bCs/>
        </w:rPr>
        <w:t>“</w:t>
      </w:r>
      <w:r w:rsidRPr="0036027B">
        <w:rPr>
          <w:bCs/>
        </w:rPr>
        <w:t>Cance</w:t>
      </w:r>
      <w:r w:rsidR="004F26D2" w:rsidRPr="0036027B">
        <w:rPr>
          <w:bCs/>
        </w:rPr>
        <w:t>r incidence and mortality World</w:t>
      </w:r>
      <w:r w:rsidRPr="0036027B">
        <w:rPr>
          <w:bCs/>
        </w:rPr>
        <w:t>wide</w:t>
      </w:r>
      <w:r w:rsidR="004F26D2" w:rsidRPr="0036027B">
        <w:rPr>
          <w:bCs/>
        </w:rPr>
        <w:t>” IARC cancer base No. 11 Internet Lyon France IARC 2013 Available http globocan.iarc.fr</w:t>
      </w:r>
      <w:r w:rsidRPr="0036027B">
        <w:rPr>
          <w:bCs/>
        </w:rPr>
        <w:t xml:space="preserve">             </w:t>
      </w:r>
    </w:p>
    <w:p w:rsidR="004F26D2" w:rsidRPr="0036027B" w:rsidRDefault="0036027B" w:rsidP="00620A8A">
      <w:pPr>
        <w:pStyle w:val="ListParagraph"/>
        <w:numPr>
          <w:ilvl w:val="0"/>
          <w:numId w:val="5"/>
        </w:numPr>
        <w:spacing w:after="0"/>
        <w:rPr>
          <w:bCs/>
        </w:rPr>
      </w:pPr>
      <w:r w:rsidRPr="0036027B">
        <w:rPr>
          <w:bCs/>
        </w:rPr>
        <w:t xml:space="preserve">Surveillance Epidemiology </w:t>
      </w:r>
      <w:r w:rsidR="004F26D2" w:rsidRPr="0036027B">
        <w:rPr>
          <w:bCs/>
        </w:rPr>
        <w:t>Age Adjusted Cancer incidence in men in United States 1975 – 2005 “Surveillance Epidemiology and End Results” Program (SEER) Division of cancer control and population sciences.  National Cancer Institute USA.</w:t>
      </w:r>
    </w:p>
    <w:p w:rsidR="00620A8A" w:rsidRPr="0036027B" w:rsidRDefault="00620A8A" w:rsidP="00620A8A">
      <w:pPr>
        <w:pStyle w:val="ListParagraph"/>
        <w:numPr>
          <w:ilvl w:val="0"/>
          <w:numId w:val="5"/>
        </w:numPr>
        <w:spacing w:after="0"/>
        <w:rPr>
          <w:bCs/>
        </w:rPr>
      </w:pPr>
      <w:r w:rsidRPr="0036027B">
        <w:rPr>
          <w:bCs/>
        </w:rPr>
        <w:t xml:space="preserve">Thompson IM, Pauler DK, Goodman PJ, Tangen CM, Lucia MS, Parnes HL, Minasiah LM, Ford LG, Lippman SM, Crawford ED, Crowley JJ, Coltman CA Jr (2004), “Prevalence of PC among men with PSA &lt; or = 4ng/ml” New Eng Journal Medicine Sept 30 351 (22) p2239 – 2246 </w:t>
      </w:r>
    </w:p>
    <w:p w:rsidR="00620A8A" w:rsidRPr="0036027B" w:rsidRDefault="00620A8A" w:rsidP="00620A8A">
      <w:pPr>
        <w:pStyle w:val="ListParagraph"/>
        <w:numPr>
          <w:ilvl w:val="0"/>
          <w:numId w:val="5"/>
        </w:numPr>
        <w:spacing w:after="0"/>
        <w:rPr>
          <w:bCs/>
        </w:rPr>
      </w:pPr>
      <w:r w:rsidRPr="0036027B">
        <w:rPr>
          <w:bCs/>
        </w:rPr>
        <w:t>Delongchamps NB, Singh A, Haas G (2007) “Epidemiology of prostate cancer in Africa.  Another step in the understanding of the disease” Curr Publ cancer 2007:31(2) p226 – 236</w:t>
      </w:r>
    </w:p>
    <w:p w:rsidR="00620A8A" w:rsidRPr="0036027B" w:rsidRDefault="00620A8A" w:rsidP="00620A8A">
      <w:pPr>
        <w:pStyle w:val="ListParagraph"/>
        <w:numPr>
          <w:ilvl w:val="0"/>
          <w:numId w:val="5"/>
        </w:numPr>
        <w:spacing w:after="0"/>
        <w:rPr>
          <w:bCs/>
        </w:rPr>
      </w:pPr>
      <w:r w:rsidRPr="0036027B">
        <w:rPr>
          <w:bCs/>
        </w:rPr>
        <w:lastRenderedPageBreak/>
        <w:t>Jackson MA, Kovi J, Heshmat MY, Ogunnuviwa TA, Jones GW, William AO, Christian EC, N</w:t>
      </w:r>
      <w:r w:rsidR="0036027B" w:rsidRPr="0036027B">
        <w:rPr>
          <w:bCs/>
        </w:rPr>
        <w:t>kposo</w:t>
      </w:r>
      <w:r w:rsidRPr="0036027B">
        <w:rPr>
          <w:bCs/>
        </w:rPr>
        <w:t>ng EO, Rao MS, Jackson AG, Ahlumallian BS, (1980), “Characterisation of prostate carcinoma among blacks – a comparison between low incidence area IBADAN Nigeria and high incidence area Washing</w:t>
      </w:r>
      <w:r w:rsidR="0036027B" w:rsidRPr="0036027B">
        <w:rPr>
          <w:bCs/>
        </w:rPr>
        <w:t>ton</w:t>
      </w:r>
      <w:r w:rsidRPr="0036027B">
        <w:rPr>
          <w:bCs/>
        </w:rPr>
        <w:t xml:space="preserve"> DC” 1980 Prostate:1(2) p185 – 205</w:t>
      </w:r>
    </w:p>
    <w:p w:rsidR="00620A8A" w:rsidRPr="0036027B" w:rsidRDefault="00620A8A" w:rsidP="00620A8A">
      <w:pPr>
        <w:pStyle w:val="ListParagraph"/>
        <w:numPr>
          <w:ilvl w:val="0"/>
          <w:numId w:val="5"/>
        </w:numPr>
        <w:spacing w:after="0"/>
        <w:rPr>
          <w:bCs/>
        </w:rPr>
      </w:pPr>
      <w:r w:rsidRPr="0036027B">
        <w:rPr>
          <w:bCs/>
        </w:rPr>
        <w:t>Heyns CF, Fisher M, Lecuona A, Merwl A, Vander (2011), “Prostate cancer among different racial groups in the Western Cape.  Presenting features and management” SAMJ Vol 101:4 p267 – 270</w:t>
      </w:r>
    </w:p>
    <w:p w:rsidR="00C80E58" w:rsidRPr="0036027B" w:rsidRDefault="00C80E58" w:rsidP="00C80E58">
      <w:pPr>
        <w:pStyle w:val="ListParagraph"/>
        <w:numPr>
          <w:ilvl w:val="0"/>
          <w:numId w:val="5"/>
        </w:numPr>
        <w:spacing w:after="0"/>
        <w:rPr>
          <w:bCs/>
        </w:rPr>
      </w:pPr>
      <w:r w:rsidRPr="0036027B">
        <w:rPr>
          <w:bCs/>
        </w:rPr>
        <w:t>Osegbe DN (1997), “prostate cancer in Nigeria, facts and nonfacts”, J Urol Vol 157 p1340 – 1343</w:t>
      </w:r>
    </w:p>
    <w:p w:rsidR="00C80E58" w:rsidRPr="0036027B" w:rsidRDefault="00C80E58" w:rsidP="00C80E58">
      <w:pPr>
        <w:pStyle w:val="ListParagraph"/>
        <w:numPr>
          <w:ilvl w:val="0"/>
          <w:numId w:val="5"/>
        </w:numPr>
        <w:spacing w:after="0"/>
        <w:rPr>
          <w:bCs/>
        </w:rPr>
      </w:pPr>
      <w:r w:rsidRPr="0036027B">
        <w:rPr>
          <w:bCs/>
        </w:rPr>
        <w:t xml:space="preserve">Haas GP, Delongchamps N, Brawley OW, Wang CY, Dela Roza G, (2008), “World Wide Epidemiology of Prostate cancer perspective from autopsy studies” Can J Urology (2008) p3866 – 3871 </w:t>
      </w:r>
    </w:p>
    <w:p w:rsidR="00620A8A" w:rsidRPr="0036027B" w:rsidRDefault="00620A8A" w:rsidP="00620A8A">
      <w:pPr>
        <w:pStyle w:val="ListParagraph"/>
        <w:numPr>
          <w:ilvl w:val="0"/>
          <w:numId w:val="5"/>
        </w:numPr>
        <w:spacing w:after="0"/>
        <w:rPr>
          <w:bCs/>
        </w:rPr>
      </w:pPr>
      <w:r w:rsidRPr="0036027B">
        <w:rPr>
          <w:bCs/>
        </w:rPr>
        <w:t xml:space="preserve">Guess HA, Arright HM, Metter EJ, Fozard JL (1990), “Cumulative prevalence of prostatism matches autopsy prevalence of benign hyperplasia” PROSTATE 1990 17:241 – 246 </w:t>
      </w:r>
    </w:p>
    <w:p w:rsidR="00620A8A" w:rsidRPr="0036027B" w:rsidRDefault="00620A8A" w:rsidP="00620A8A">
      <w:pPr>
        <w:pStyle w:val="ListParagraph"/>
        <w:numPr>
          <w:ilvl w:val="0"/>
          <w:numId w:val="5"/>
        </w:numPr>
        <w:spacing w:after="0"/>
        <w:rPr>
          <w:bCs/>
        </w:rPr>
      </w:pPr>
      <w:r w:rsidRPr="0036027B">
        <w:rPr>
          <w:bCs/>
        </w:rPr>
        <w:t xml:space="preserve">Nashlund MJ, Gilsenan AW, Midkiff KD, Brown A, Wolford ET, Wang J (2007), “Prevalence of lower urinary tract symptoms and prostate enlargement in primary care setting” Int J Clin Prait 2007:61 p1347 – 1445 </w:t>
      </w:r>
    </w:p>
    <w:p w:rsidR="00620A8A" w:rsidRPr="0036027B" w:rsidRDefault="00620A8A" w:rsidP="00620A8A">
      <w:pPr>
        <w:pStyle w:val="ListParagraph"/>
        <w:numPr>
          <w:ilvl w:val="0"/>
          <w:numId w:val="5"/>
        </w:numPr>
        <w:spacing w:after="0"/>
        <w:rPr>
          <w:bCs/>
        </w:rPr>
      </w:pPr>
      <w:r w:rsidRPr="0036027B">
        <w:rPr>
          <w:bCs/>
        </w:rPr>
        <w:t xml:space="preserve">Trueman P, Hood SC, Nayak US, Mirazek MF (1999), “)Prevalence of lower urinary tract symptoms and self reported diagnosed benign prostatic hyperplasia and their effect on quality of life in a community based survey of men in UK” BJU Int 1999:83:410 – 415 </w:t>
      </w:r>
    </w:p>
    <w:p w:rsidR="00620A8A" w:rsidRPr="0036027B" w:rsidRDefault="00620A8A" w:rsidP="00620A8A">
      <w:pPr>
        <w:pStyle w:val="ListParagraph"/>
        <w:numPr>
          <w:ilvl w:val="0"/>
          <w:numId w:val="5"/>
        </w:numPr>
        <w:spacing w:after="0"/>
        <w:rPr>
          <w:bCs/>
        </w:rPr>
      </w:pPr>
      <w:r w:rsidRPr="0036027B">
        <w:rPr>
          <w:bCs/>
        </w:rPr>
        <w:t xml:space="preserve">Rosen R, Altwein J, Boyle P, Kirby RS, Lukass B, Meuleman E et al (2003), “Lower urinary tract symptoms and male sexual dysfunction: the multinational survey of aging male (MSAM)” Euro Urol 2003:44:637 – 649 </w:t>
      </w:r>
    </w:p>
    <w:p w:rsidR="00620A8A" w:rsidRPr="0036027B" w:rsidRDefault="00620A8A" w:rsidP="00620A8A">
      <w:pPr>
        <w:pStyle w:val="ListParagraph"/>
        <w:numPr>
          <w:ilvl w:val="0"/>
          <w:numId w:val="5"/>
        </w:numPr>
        <w:spacing w:after="0"/>
        <w:rPr>
          <w:bCs/>
        </w:rPr>
      </w:pPr>
      <w:r w:rsidRPr="0036027B">
        <w:rPr>
          <w:bCs/>
        </w:rPr>
        <w:t xml:space="preserve">Sarma AV, Wei JT, Jacobson DJ, Dunn RL, Roberts RO, Girman CJ, et al (2003), “Comparison of lower urinary tract symptoms severity and associated bother between community dwelling black and white men: the Olmstead county study of urinary symptoms and Health Status and the Flint Mens Health Study” Urology 2003:61:p1086 – 1091 </w:t>
      </w:r>
    </w:p>
    <w:p w:rsidR="00620A8A" w:rsidRPr="0036027B" w:rsidRDefault="00620A8A" w:rsidP="00620A8A">
      <w:pPr>
        <w:pStyle w:val="ListParagraph"/>
        <w:numPr>
          <w:ilvl w:val="0"/>
          <w:numId w:val="5"/>
        </w:numPr>
        <w:spacing w:after="0"/>
        <w:rPr>
          <w:bCs/>
        </w:rPr>
      </w:pPr>
      <w:r w:rsidRPr="0036027B">
        <w:rPr>
          <w:bCs/>
        </w:rPr>
        <w:t>Taub DA and Wei JT (2006), “The economics of benign prostatic hyperplasia and lower urinary tract symptoms in Unites States of America” Curr Urol Rep 2006:7(4):272 – 281</w:t>
      </w:r>
    </w:p>
    <w:p w:rsidR="00620A8A" w:rsidRPr="0036027B" w:rsidRDefault="00620A8A" w:rsidP="00620A8A">
      <w:pPr>
        <w:pStyle w:val="ListParagraph"/>
        <w:numPr>
          <w:ilvl w:val="0"/>
          <w:numId w:val="5"/>
        </w:numPr>
        <w:spacing w:after="0"/>
        <w:rPr>
          <w:bCs/>
        </w:rPr>
      </w:pPr>
      <w:r w:rsidRPr="0036027B">
        <w:rPr>
          <w:bCs/>
        </w:rPr>
        <w:t xml:space="preserve">Saigal CS and Joyce G (2005), “Economic costs of benign prostatic hyperplasia in private sector” J Urol 2005:173(4):1309 – 1313 </w:t>
      </w:r>
    </w:p>
    <w:p w:rsidR="00620A8A" w:rsidRPr="0036027B" w:rsidRDefault="00620A8A" w:rsidP="00620A8A">
      <w:pPr>
        <w:pStyle w:val="ListParagraph"/>
        <w:numPr>
          <w:ilvl w:val="0"/>
          <w:numId w:val="5"/>
        </w:numPr>
        <w:spacing w:after="0"/>
        <w:rPr>
          <w:bCs/>
        </w:rPr>
      </w:pPr>
      <w:r w:rsidRPr="0036027B">
        <w:rPr>
          <w:bCs/>
        </w:rPr>
        <w:t>Andriole GL, Levin DL, Crawford ED et al (2005), “Prostate cancer screening in prostate, lung, colorectal and ovarian (PLCO) cancer screening Trial.  Findings from initial screening of randomized trial”, JNCI Vol 97 no 6 p1 – 10</w:t>
      </w:r>
    </w:p>
    <w:p w:rsidR="00620A8A" w:rsidRPr="0036027B" w:rsidRDefault="00620A8A" w:rsidP="00620A8A">
      <w:pPr>
        <w:pStyle w:val="ListParagraph"/>
        <w:numPr>
          <w:ilvl w:val="0"/>
          <w:numId w:val="5"/>
        </w:numPr>
        <w:spacing w:after="0"/>
        <w:rPr>
          <w:bCs/>
        </w:rPr>
      </w:pPr>
      <w:r w:rsidRPr="0036027B">
        <w:rPr>
          <w:bCs/>
        </w:rPr>
        <w:t>Weinrich JE (1998), “Urinary symptoms as predictor of participation in prostate cancer screening among African American Men” PROSTATE 37: p215 – 222</w:t>
      </w:r>
    </w:p>
    <w:p w:rsidR="00620A8A" w:rsidRPr="0036027B" w:rsidRDefault="00620A8A" w:rsidP="00620A8A">
      <w:pPr>
        <w:pStyle w:val="ListParagraph"/>
        <w:numPr>
          <w:ilvl w:val="0"/>
          <w:numId w:val="5"/>
        </w:numPr>
        <w:spacing w:after="0"/>
        <w:rPr>
          <w:bCs/>
        </w:rPr>
      </w:pPr>
      <w:r w:rsidRPr="0036027B">
        <w:rPr>
          <w:bCs/>
        </w:rPr>
        <w:t>Cooney K, Herrings SG, Alcser KH, Doer K, Medbury B, and Schonfield R (2001), “Potential selection bias in a community based study of PSA levels in African American men”. Journal Clinical Epidemiology Vol 542. P142 – 148</w:t>
      </w:r>
    </w:p>
    <w:p w:rsidR="00620A8A" w:rsidRPr="0036027B" w:rsidRDefault="00620A8A" w:rsidP="00620A8A">
      <w:pPr>
        <w:pStyle w:val="ListParagraph"/>
        <w:numPr>
          <w:ilvl w:val="0"/>
          <w:numId w:val="5"/>
        </w:numPr>
        <w:spacing w:after="0"/>
        <w:rPr>
          <w:bCs/>
        </w:rPr>
      </w:pPr>
      <w:r w:rsidRPr="0036027B">
        <w:rPr>
          <w:bCs/>
        </w:rPr>
        <w:t>Powell IJ, Helibrun L, Littrup PL, Franklin A, Parcuchowski J, Gelfend D, Sakr W, (1997), “Outcome of African American men screened for prostate cancer, Detroit Education and Early detection (DEED) study” J Urol 1997 Vol 158 (1) p146 – 149</w:t>
      </w:r>
    </w:p>
    <w:p w:rsidR="00620A8A" w:rsidRPr="0036027B" w:rsidRDefault="00620A8A" w:rsidP="00620A8A">
      <w:pPr>
        <w:pStyle w:val="ListParagraph"/>
        <w:numPr>
          <w:ilvl w:val="0"/>
          <w:numId w:val="5"/>
        </w:numPr>
        <w:spacing w:after="0"/>
        <w:rPr>
          <w:bCs/>
        </w:rPr>
      </w:pPr>
      <w:r w:rsidRPr="0036027B">
        <w:rPr>
          <w:bCs/>
        </w:rPr>
        <w:t>Smith D, Bullock AD, Catalona WJ and Herschman (1996), “Racial Differences in prostate cancer screening Study”, J Urol Vol 156 p1366 – 1369</w:t>
      </w:r>
    </w:p>
    <w:p w:rsidR="00620A8A" w:rsidRPr="0036027B" w:rsidRDefault="00620A8A" w:rsidP="00620A8A">
      <w:pPr>
        <w:pStyle w:val="ListParagraph"/>
        <w:numPr>
          <w:ilvl w:val="0"/>
          <w:numId w:val="5"/>
        </w:numPr>
        <w:spacing w:after="0"/>
        <w:rPr>
          <w:bCs/>
        </w:rPr>
      </w:pPr>
      <w:r w:rsidRPr="0036027B">
        <w:rPr>
          <w:bCs/>
        </w:rPr>
        <w:lastRenderedPageBreak/>
        <w:t>Bunker CH, Patrick AL, Konotey BR, et al (2002), “High prevalence of screening detected prostate cancer among Afro-Caribbeans.  The Tobago prostate cancer survey”, Cancer Epidemiology Biomarkers and prevention Vol III No 8 p726 – 729</w:t>
      </w:r>
    </w:p>
    <w:p w:rsidR="00620A8A" w:rsidRPr="0036027B" w:rsidRDefault="00620A8A" w:rsidP="00620A8A">
      <w:pPr>
        <w:pStyle w:val="ListParagraph"/>
        <w:numPr>
          <w:ilvl w:val="0"/>
          <w:numId w:val="5"/>
        </w:numPr>
        <w:spacing w:after="0"/>
        <w:rPr>
          <w:bCs/>
        </w:rPr>
      </w:pPr>
      <w:r w:rsidRPr="0036027B">
        <w:rPr>
          <w:bCs/>
        </w:rPr>
        <w:t>Angwafo Fru F (1998), “Migration and prostate cancer characteristics.  An International Perspective” Journal National Med Association Vol 90 No 11 p5720 – 5723</w:t>
      </w:r>
    </w:p>
    <w:p w:rsidR="00620A8A" w:rsidRPr="0036027B" w:rsidRDefault="00620A8A" w:rsidP="00620A8A">
      <w:pPr>
        <w:pStyle w:val="ListParagraph"/>
        <w:numPr>
          <w:ilvl w:val="0"/>
          <w:numId w:val="5"/>
        </w:numPr>
        <w:spacing w:after="0"/>
        <w:rPr>
          <w:bCs/>
        </w:rPr>
      </w:pPr>
      <w:r w:rsidRPr="0036027B">
        <w:rPr>
          <w:bCs/>
        </w:rPr>
        <w:t xml:space="preserve">Rebbeck TM, Devessa SS, </w:t>
      </w:r>
      <w:r w:rsidR="0036027B" w:rsidRPr="0036027B">
        <w:rPr>
          <w:bCs/>
        </w:rPr>
        <w:t xml:space="preserve">Chang BL, …, Bunker CH, … </w:t>
      </w:r>
      <w:r w:rsidRPr="0036027B">
        <w:rPr>
          <w:bCs/>
        </w:rPr>
        <w:t>Ye</w:t>
      </w:r>
      <w:r w:rsidR="0036027B" w:rsidRPr="0036027B">
        <w:rPr>
          <w:bCs/>
        </w:rPr>
        <w:t xml:space="preserve">boah ED, Hsing AW </w:t>
      </w:r>
      <w:r w:rsidRPr="0036027B">
        <w:rPr>
          <w:bCs/>
        </w:rPr>
        <w:t>(2013), “Global patterns of prostate cancer incidence aggressiveness and mortality in Men of African Descent” Prostate cancer Vol 2013 p1 – 12</w:t>
      </w:r>
    </w:p>
    <w:p w:rsidR="00620A8A" w:rsidRPr="0036027B" w:rsidRDefault="00620A8A" w:rsidP="00620A8A">
      <w:pPr>
        <w:pStyle w:val="ListParagraph"/>
        <w:numPr>
          <w:ilvl w:val="0"/>
          <w:numId w:val="5"/>
        </w:numPr>
        <w:spacing w:after="0"/>
        <w:rPr>
          <w:bCs/>
        </w:rPr>
      </w:pPr>
      <w:r w:rsidRPr="0036027B">
        <w:rPr>
          <w:bCs/>
        </w:rPr>
        <w:t>Jalloh M, Frebel TM, Mante SD, Yeboah ED et al (2013), “Evaluation of 4672 prostate biopsies performed in 6 African countries”, Afr J Cancer Do1 p1067 – 76</w:t>
      </w:r>
    </w:p>
    <w:p w:rsidR="00620A8A" w:rsidRPr="0036027B" w:rsidRDefault="00620A8A" w:rsidP="00620A8A">
      <w:pPr>
        <w:pStyle w:val="ListParagraph"/>
        <w:numPr>
          <w:ilvl w:val="0"/>
          <w:numId w:val="5"/>
        </w:numPr>
        <w:spacing w:after="0"/>
        <w:rPr>
          <w:bCs/>
        </w:rPr>
      </w:pPr>
      <w:r w:rsidRPr="0036027B">
        <w:rPr>
          <w:bCs/>
        </w:rPr>
        <w:t xml:space="preserve">Lazzaro C (2003), “Managing patients with prostate cancer in Italy during first year after diagnosis.  A cost description based on a sample of 8 urological wards” Arch Hal Urol Adrol 2003 Sep 75 (3): 138 – 49 </w:t>
      </w:r>
    </w:p>
    <w:p w:rsidR="00620A8A" w:rsidRPr="0036027B" w:rsidRDefault="00620A8A" w:rsidP="00620A8A">
      <w:pPr>
        <w:pStyle w:val="ListParagraph"/>
        <w:numPr>
          <w:ilvl w:val="0"/>
          <w:numId w:val="5"/>
        </w:numPr>
        <w:spacing w:after="0"/>
        <w:rPr>
          <w:bCs/>
        </w:rPr>
      </w:pPr>
      <w:r w:rsidRPr="0036027B">
        <w:rPr>
          <w:bCs/>
        </w:rPr>
        <w:t>Sangar VK, Ragavan N, Matanhelia SS, Watson MW, Blades RA (2005), “The economic consequences of prostate and bladder cancer in UK” BJU Int 2005 Jan 95 (1) p59 – 63</w:t>
      </w:r>
    </w:p>
    <w:p w:rsidR="00620A8A" w:rsidRPr="0036027B" w:rsidRDefault="00620A8A" w:rsidP="00620A8A">
      <w:pPr>
        <w:pStyle w:val="ListParagraph"/>
        <w:numPr>
          <w:ilvl w:val="0"/>
          <w:numId w:val="5"/>
        </w:numPr>
        <w:spacing w:after="0"/>
        <w:rPr>
          <w:bCs/>
        </w:rPr>
      </w:pPr>
      <w:r w:rsidRPr="0036027B">
        <w:rPr>
          <w:bCs/>
        </w:rPr>
        <w:t xml:space="preserve">Molinier L, Castellie, Bauvin E, Ribiland X, Soulie M, Daures JP and Grosdaude (2011), “Cost study of clinical management of prostate cancer in France: results on basis of population based data” Eur J Health Econ 2011 Aug:12(4) 363 – 371 </w:t>
      </w:r>
    </w:p>
    <w:p w:rsidR="00177A8D" w:rsidRDefault="00177A8D" w:rsidP="00177A8D">
      <w:pPr>
        <w:jc w:val="center"/>
        <w:rPr>
          <w:b/>
          <w:sz w:val="28"/>
          <w:szCs w:val="28"/>
        </w:rPr>
      </w:pPr>
      <w:r>
        <w:rPr>
          <w:b/>
          <w:sz w:val="28"/>
          <w:szCs w:val="28"/>
        </w:rPr>
        <w:t xml:space="preserve">  </w:t>
      </w:r>
    </w:p>
    <w:p w:rsidR="00177A8D" w:rsidRDefault="00177A8D" w:rsidP="00177A8D">
      <w:pPr>
        <w:spacing w:line="480" w:lineRule="auto"/>
        <w:rPr>
          <w:rFonts w:eastAsia="Times New Roman" w:cs="Arial"/>
          <w:b/>
          <w:bCs/>
          <w:color w:val="000000"/>
          <w:sz w:val="24"/>
          <w:szCs w:val="24"/>
        </w:rPr>
      </w:pPr>
      <w:r>
        <w:rPr>
          <w:rFonts w:eastAsia="Times New Roman" w:cs="Arial"/>
          <w:b/>
          <w:bCs/>
          <w:color w:val="000000"/>
          <w:sz w:val="24"/>
          <w:szCs w:val="24"/>
        </w:rPr>
        <w:t>INTRODUCTION</w:t>
      </w:r>
    </w:p>
    <w:p w:rsidR="00177A8D" w:rsidRDefault="00177A8D" w:rsidP="00177A8D">
      <w:pPr>
        <w:spacing w:line="480" w:lineRule="auto"/>
        <w:rPr>
          <w:rFonts w:eastAsia="Times New Roman" w:cs="Arial"/>
          <w:bCs/>
          <w:color w:val="000000"/>
          <w:sz w:val="24"/>
          <w:szCs w:val="24"/>
        </w:rPr>
      </w:pPr>
      <w:proofErr w:type="gramStart"/>
      <w:r>
        <w:rPr>
          <w:rFonts w:eastAsia="Times New Roman" w:cs="Arial"/>
          <w:bCs/>
          <w:color w:val="000000"/>
          <w:sz w:val="24"/>
          <w:szCs w:val="24"/>
        </w:rPr>
        <w:t>L'anatomie  morphologique</w:t>
      </w:r>
      <w:proofErr w:type="gramEnd"/>
      <w:r>
        <w:rPr>
          <w:rFonts w:eastAsia="Times New Roman" w:cs="Arial"/>
          <w:bCs/>
          <w:color w:val="000000"/>
          <w:sz w:val="24"/>
          <w:szCs w:val="24"/>
        </w:rPr>
        <w:t xml:space="preserve">  de la gland prostate  a été établi</w:t>
      </w:r>
      <w:r>
        <w:rPr>
          <w:rFonts w:eastAsia="Times New Roman" w:cs="Arial"/>
          <w:bCs/>
          <w:color w:val="000000"/>
          <w:sz w:val="24"/>
          <w:szCs w:val="24"/>
          <w:vertAlign w:val="superscript"/>
        </w:rPr>
        <w:t>1, 2</w:t>
      </w:r>
      <w:r>
        <w:rPr>
          <w:rFonts w:eastAsia="Times New Roman" w:cs="Arial"/>
          <w:bCs/>
          <w:color w:val="000000"/>
          <w:sz w:val="24"/>
          <w:szCs w:val="24"/>
        </w:rPr>
        <w:t>. Ils ont la zone périphérique (ZP)</w:t>
      </w:r>
      <w:proofErr w:type="gramStart"/>
      <w:r>
        <w:rPr>
          <w:rFonts w:eastAsia="Times New Roman" w:cs="Arial"/>
          <w:bCs/>
          <w:color w:val="000000"/>
          <w:sz w:val="24"/>
          <w:szCs w:val="24"/>
        </w:rPr>
        <w:t>,la</w:t>
      </w:r>
      <w:proofErr w:type="gramEnd"/>
      <w:r>
        <w:rPr>
          <w:rFonts w:eastAsia="Times New Roman" w:cs="Arial"/>
          <w:bCs/>
          <w:color w:val="000000"/>
          <w:sz w:val="24"/>
          <w:szCs w:val="24"/>
        </w:rPr>
        <w:t xml:space="preserve">  zone transition (ZT), la zone centrale(ZC), la zone  fibromusculaire antérieure et la zone prostatic . La contributions des partis </w:t>
      </w:r>
      <w:proofErr w:type="gramStart"/>
      <w:r>
        <w:rPr>
          <w:rFonts w:eastAsia="Times New Roman" w:cs="Arial"/>
          <w:bCs/>
          <w:color w:val="000000"/>
          <w:sz w:val="24"/>
          <w:szCs w:val="24"/>
        </w:rPr>
        <w:t>de  zones</w:t>
      </w:r>
      <w:proofErr w:type="gramEnd"/>
      <w:r>
        <w:rPr>
          <w:rFonts w:eastAsia="Times New Roman" w:cs="Arial"/>
          <w:bCs/>
          <w:color w:val="000000"/>
          <w:sz w:val="24"/>
          <w:szCs w:val="24"/>
        </w:rPr>
        <w:t xml:space="preserve"> dans un cas normal  sont PZ 70 – 80%, TZ 10%, CZ 20%.  En bénigne prostatique hyperplasie/hypertrophié/élargissement (BPH/BPE), seule la zone de transition </w:t>
      </w:r>
      <w:proofErr w:type="gramStart"/>
      <w:r>
        <w:rPr>
          <w:rFonts w:eastAsia="Times New Roman" w:cs="Arial"/>
          <w:bCs/>
          <w:color w:val="000000"/>
          <w:sz w:val="24"/>
          <w:szCs w:val="24"/>
        </w:rPr>
        <w:t>est</w:t>
      </w:r>
      <w:proofErr w:type="gramEnd"/>
      <w:r>
        <w:rPr>
          <w:rFonts w:eastAsia="Times New Roman" w:cs="Arial"/>
          <w:bCs/>
          <w:color w:val="000000"/>
          <w:sz w:val="24"/>
          <w:szCs w:val="24"/>
        </w:rPr>
        <w:t xml:space="preserve"> touché et constitue 100% de BPH.  Dans Ie développement de carcinome </w:t>
      </w:r>
      <w:proofErr w:type="gramStart"/>
      <w:r>
        <w:rPr>
          <w:rFonts w:eastAsia="Times New Roman" w:cs="Arial"/>
          <w:bCs/>
          <w:color w:val="000000"/>
          <w:sz w:val="24"/>
          <w:szCs w:val="24"/>
        </w:rPr>
        <w:t>prostate  (</w:t>
      </w:r>
      <w:proofErr w:type="gramEnd"/>
      <w:r>
        <w:rPr>
          <w:rFonts w:eastAsia="Times New Roman" w:cs="Arial"/>
          <w:bCs/>
          <w:color w:val="000000"/>
          <w:sz w:val="24"/>
          <w:szCs w:val="24"/>
        </w:rPr>
        <w:t>CP), plus de 70% se lève de PZ c'est - à- dire la partie exterieure  de</w:t>
      </w:r>
    </w:p>
    <w:p w:rsidR="00177A8D" w:rsidRDefault="00177A8D" w:rsidP="00177A8D">
      <w:pPr>
        <w:spacing w:line="480" w:lineRule="auto"/>
        <w:rPr>
          <w:rFonts w:eastAsia="Times New Roman" w:cs="Arial"/>
          <w:bCs/>
          <w:color w:val="000000"/>
          <w:sz w:val="24"/>
          <w:szCs w:val="24"/>
        </w:rPr>
      </w:pPr>
      <w:proofErr w:type="gramStart"/>
      <w:r>
        <w:rPr>
          <w:rFonts w:eastAsia="Times New Roman" w:cs="Arial"/>
          <w:bCs/>
          <w:color w:val="000000"/>
          <w:sz w:val="24"/>
          <w:szCs w:val="24"/>
        </w:rPr>
        <w:t>la</w:t>
      </w:r>
      <w:proofErr w:type="gramEnd"/>
      <w:r>
        <w:rPr>
          <w:rFonts w:eastAsia="Times New Roman" w:cs="Arial"/>
          <w:bCs/>
          <w:color w:val="000000"/>
          <w:sz w:val="24"/>
          <w:szCs w:val="24"/>
        </w:rPr>
        <w:t xml:space="preserve"> glande, le  TZ est responsable pour  20% et CZ 10%, Tableau1</w:t>
      </w:r>
      <w:r>
        <w:rPr>
          <w:rFonts w:eastAsia="Times New Roman" w:cs="Arial"/>
          <w:bCs/>
          <w:color w:val="000000"/>
          <w:sz w:val="24"/>
          <w:szCs w:val="24"/>
          <w:vertAlign w:val="superscript"/>
        </w:rPr>
        <w:t>1, 2</w:t>
      </w:r>
      <w:r>
        <w:rPr>
          <w:rFonts w:eastAsia="Times New Roman" w:cs="Arial"/>
          <w:bCs/>
          <w:color w:val="000000"/>
          <w:sz w:val="24"/>
          <w:szCs w:val="24"/>
        </w:rPr>
        <w:t xml:space="preserve">.En  Prostatitis touche le PZ  . Parce que le  PZ est laisser en arriere  après  TURP/prostatectomy simple,les patients peuvent développer après ces opérations cancer de la prostate  dans la zone PZ .Les rapports de </w:t>
      </w:r>
      <w:r>
        <w:rPr>
          <w:rFonts w:eastAsia="Times New Roman" w:cs="Arial"/>
          <w:bCs/>
          <w:color w:val="000000"/>
          <w:sz w:val="24"/>
          <w:szCs w:val="24"/>
        </w:rPr>
        <w:lastRenderedPageBreak/>
        <w:t>population basé  sur la prévalence de BPH et cancer de la prostate varie selon la localisation géographique différent et races</w:t>
      </w:r>
      <w:r>
        <w:rPr>
          <w:rFonts w:eastAsia="Times New Roman" w:cs="Arial"/>
          <w:bCs/>
          <w:color w:val="000000"/>
          <w:sz w:val="24"/>
          <w:szCs w:val="24"/>
          <w:vertAlign w:val="superscript"/>
        </w:rPr>
        <w:t>1, 2</w:t>
      </w:r>
      <w:r>
        <w:rPr>
          <w:rFonts w:eastAsia="Times New Roman" w:cs="Arial"/>
          <w:bCs/>
          <w:color w:val="000000"/>
          <w:sz w:val="24"/>
          <w:szCs w:val="24"/>
        </w:rPr>
        <w:t xml:space="preserve">.  </w:t>
      </w:r>
    </w:p>
    <w:p w:rsidR="00177A8D" w:rsidRDefault="00177A8D" w:rsidP="00177A8D">
      <w:pPr>
        <w:spacing w:after="0" w:line="480" w:lineRule="auto"/>
        <w:rPr>
          <w:rFonts w:eastAsia="Times New Roman" w:cs="Arial"/>
          <w:color w:val="000000"/>
          <w:sz w:val="24"/>
          <w:szCs w:val="24"/>
          <w:u w:val="single"/>
        </w:rPr>
      </w:pPr>
      <w:r>
        <w:rPr>
          <w:rFonts w:eastAsia="Times New Roman" w:cs="Arial"/>
          <w:color w:val="000000"/>
          <w:sz w:val="24"/>
          <w:szCs w:val="24"/>
          <w:u w:val="single"/>
        </w:rPr>
        <w:t>BUT ET OBJECTIFS:</w:t>
      </w:r>
    </w:p>
    <w:p w:rsidR="00177A8D" w:rsidRDefault="00177A8D" w:rsidP="00177A8D">
      <w:pPr>
        <w:spacing w:after="0" w:line="480" w:lineRule="auto"/>
        <w:rPr>
          <w:rFonts w:eastAsia="Times New Roman" w:cs="Arial"/>
          <w:color w:val="000000"/>
          <w:sz w:val="24"/>
          <w:szCs w:val="24"/>
        </w:rPr>
      </w:pPr>
      <w:r>
        <w:rPr>
          <w:rFonts w:eastAsia="Times New Roman" w:cs="Arial"/>
          <w:color w:val="000000"/>
          <w:sz w:val="24"/>
          <w:szCs w:val="24"/>
        </w:rPr>
        <w:t>BÉNIGNE PROSTATIC HYPERPLASIE/HYPERTROPHIE /</w:t>
      </w:r>
      <w:proofErr w:type="gramStart"/>
      <w:r>
        <w:rPr>
          <w:rFonts w:eastAsia="Times New Roman" w:cs="Arial"/>
          <w:color w:val="000000"/>
          <w:sz w:val="24"/>
          <w:szCs w:val="24"/>
        </w:rPr>
        <w:t>ELARGISSEMENT  (</w:t>
      </w:r>
      <w:proofErr w:type="gramEnd"/>
      <w:r>
        <w:rPr>
          <w:rFonts w:eastAsia="Times New Roman" w:cs="Arial"/>
          <w:color w:val="000000"/>
          <w:sz w:val="24"/>
          <w:szCs w:val="24"/>
        </w:rPr>
        <w:t xml:space="preserve">BPH/BPE) – pour faire une revue de l’oeuvre publié; la prévalence  histologique (fibromyoadenoma) BPH dans les autopsies et les cas de clinique BPH/BPE en Afrique et d'autres races. Parmi les êtres </w:t>
      </w:r>
      <w:proofErr w:type="gramStart"/>
      <w:r>
        <w:rPr>
          <w:rFonts w:eastAsia="Times New Roman" w:cs="Arial"/>
          <w:color w:val="000000"/>
          <w:sz w:val="24"/>
          <w:szCs w:val="24"/>
        </w:rPr>
        <w:t>vivants ,</w:t>
      </w:r>
      <w:proofErr w:type="gramEnd"/>
      <w:r>
        <w:rPr>
          <w:rFonts w:eastAsia="Times New Roman" w:cs="Arial"/>
          <w:color w:val="000000"/>
          <w:sz w:val="24"/>
          <w:szCs w:val="24"/>
        </w:rPr>
        <w:t xml:space="preserve"> Il n y a pas de définition globalement accepter de BPH/BPE alors le taux de prévalence sont rapporté selon la définition choisit par l'enquêteur </w:t>
      </w:r>
      <w:r>
        <w:rPr>
          <w:rFonts w:eastAsia="Times New Roman" w:cs="Arial"/>
          <w:color w:val="000000"/>
          <w:sz w:val="24"/>
          <w:szCs w:val="24"/>
          <w:vertAlign w:val="superscript"/>
        </w:rPr>
        <w:t>3,4, 5</w:t>
      </w:r>
      <w:r>
        <w:rPr>
          <w:rFonts w:eastAsia="Times New Roman" w:cs="Arial"/>
          <w:color w:val="000000"/>
          <w:sz w:val="24"/>
          <w:szCs w:val="24"/>
        </w:rPr>
        <w:t xml:space="preserve">.  La prévalence de BPH/BPE clinique peut s' évaluer avec </w:t>
      </w:r>
      <w:proofErr w:type="gramStart"/>
      <w:r>
        <w:rPr>
          <w:rFonts w:eastAsia="Times New Roman" w:cs="Arial"/>
          <w:color w:val="000000"/>
          <w:sz w:val="24"/>
          <w:szCs w:val="24"/>
        </w:rPr>
        <w:t>un</w:t>
      </w:r>
      <w:proofErr w:type="gramEnd"/>
      <w:r>
        <w:rPr>
          <w:rFonts w:eastAsia="Times New Roman" w:cs="Arial"/>
          <w:color w:val="000000"/>
          <w:sz w:val="24"/>
          <w:szCs w:val="24"/>
        </w:rPr>
        <w:t xml:space="preserve"> examen rectal numerique (DRE) de gland montrant les characterisriques de caoutchouteux élargi prostate gland.  La taille peut se normaliiser mls/g, Grade 1&lt;20mls, Grade 2: 20 – 29mls, Grade 3: 30 &lt;49mls, Grade 4 ≥50mls élargissements.  La taille de </w:t>
      </w:r>
      <w:proofErr w:type="gramStart"/>
      <w:r>
        <w:rPr>
          <w:rFonts w:eastAsia="Times New Roman" w:cs="Arial"/>
          <w:color w:val="000000"/>
          <w:sz w:val="24"/>
          <w:szCs w:val="24"/>
        </w:rPr>
        <w:t>prostate  gland</w:t>
      </w:r>
      <w:proofErr w:type="gramEnd"/>
      <w:r>
        <w:rPr>
          <w:rFonts w:eastAsia="Times New Roman" w:cs="Arial"/>
          <w:color w:val="000000"/>
          <w:sz w:val="24"/>
          <w:szCs w:val="24"/>
        </w:rPr>
        <w:t xml:space="preserve"> peut s' evaluer aussi avec l ’ échographie -transrectal (TRUS) ou l’echographie trans abdominal (ABDUSG) Grade 1:  &lt;20mls (normal), Grade 2: 21 – 29mls, Grade 3: 30 – 49mls et Grade 4: ≥50mls. Les études de prévalence peut s' évaluer aussi par  le degré de symptôme du tractus urinaire (LUTS) comme mesuré par le score du syndrome international de prostate (IPSS) 0-7 légère , 8 – 19 modéré et 20 – 35 sévère en absence de l'obstruction urètre d'autres causes de l’obstruction de la vessie.  Qualité de la vie ennuyeux QOL/BS évaluation 0 – 6 QOL/BS (Content 0, heureux1, très satisfait 2, Mélangé3, Pas content4, Malheureux5, Terrible 6) Score ≥3 utilisé comme symptôme </w:t>
      </w:r>
      <w:r>
        <w:rPr>
          <w:rFonts w:eastAsia="Times New Roman" w:cs="Arial"/>
          <w:color w:val="000000"/>
          <w:sz w:val="24"/>
          <w:szCs w:val="24"/>
          <w:vertAlign w:val="superscript"/>
        </w:rPr>
        <w:t>3, 5</w:t>
      </w:r>
      <w:r>
        <w:rPr>
          <w:rFonts w:eastAsia="Times New Roman" w:cs="Arial"/>
          <w:color w:val="000000"/>
          <w:sz w:val="24"/>
          <w:szCs w:val="24"/>
        </w:rPr>
        <w:t xml:space="preserve">. </w:t>
      </w:r>
    </w:p>
    <w:p w:rsidR="00177A8D" w:rsidRDefault="00177A8D" w:rsidP="00177A8D">
      <w:pPr>
        <w:spacing w:after="0" w:line="480" w:lineRule="auto"/>
        <w:rPr>
          <w:rFonts w:eastAsia="Times New Roman" w:cs="Arial"/>
          <w:color w:val="000000"/>
          <w:sz w:val="24"/>
          <w:szCs w:val="24"/>
        </w:rPr>
      </w:pPr>
      <w:proofErr w:type="gramStart"/>
      <w:r>
        <w:rPr>
          <w:rFonts w:eastAsia="Times New Roman" w:cs="Arial"/>
          <w:color w:val="000000"/>
          <w:sz w:val="24"/>
          <w:szCs w:val="24"/>
        </w:rPr>
        <w:t>BÉNIGNE PROSTATIC HYPERPLASIE (BPH/BPE) co-existant avec cancer de la prostate.</w:t>
      </w:r>
      <w:proofErr w:type="gramEnd"/>
      <w:r>
        <w:rPr>
          <w:rFonts w:eastAsia="Times New Roman" w:cs="Arial"/>
          <w:color w:val="000000"/>
          <w:sz w:val="24"/>
          <w:szCs w:val="24"/>
        </w:rPr>
        <w:t xml:space="preserve">  Cela sera revue comme les patients avec le BPH clinical et DRE et </w:t>
      </w:r>
      <w:proofErr w:type="gramStart"/>
      <w:r>
        <w:rPr>
          <w:rFonts w:eastAsia="Times New Roman" w:cs="Arial"/>
          <w:color w:val="000000"/>
          <w:sz w:val="24"/>
          <w:szCs w:val="24"/>
        </w:rPr>
        <w:t>PSA  anormale</w:t>
      </w:r>
      <w:proofErr w:type="gramEnd"/>
      <w:r>
        <w:rPr>
          <w:rFonts w:eastAsia="Times New Roman" w:cs="Arial"/>
          <w:color w:val="000000"/>
          <w:sz w:val="24"/>
          <w:szCs w:val="24"/>
        </w:rPr>
        <w:t xml:space="preserve"> qui est remarqué d'avoir un concurrent histologique de cancer de la prostate </w:t>
      </w:r>
      <w:r>
        <w:rPr>
          <w:rFonts w:eastAsia="Times New Roman" w:cs="Arial"/>
          <w:color w:val="000000"/>
          <w:sz w:val="24"/>
          <w:szCs w:val="24"/>
          <w:vertAlign w:val="superscript"/>
        </w:rPr>
        <w:t>6, 7, 8</w:t>
      </w:r>
      <w:r>
        <w:rPr>
          <w:rFonts w:eastAsia="Times New Roman" w:cs="Arial"/>
          <w:color w:val="000000"/>
          <w:sz w:val="24"/>
          <w:szCs w:val="24"/>
        </w:rPr>
        <w:t>.</w:t>
      </w:r>
    </w:p>
    <w:p w:rsidR="00177A8D" w:rsidRDefault="00177A8D" w:rsidP="00177A8D">
      <w:pPr>
        <w:spacing w:line="480" w:lineRule="auto"/>
        <w:rPr>
          <w:rFonts w:eastAsia="Times New Roman" w:cs="Arial"/>
          <w:color w:val="000000"/>
          <w:sz w:val="24"/>
          <w:szCs w:val="24"/>
        </w:rPr>
      </w:pPr>
      <w:r>
        <w:rPr>
          <w:rFonts w:eastAsia="Times New Roman" w:cs="Arial"/>
          <w:color w:val="000000"/>
          <w:sz w:val="24"/>
          <w:szCs w:val="24"/>
        </w:rPr>
        <w:lastRenderedPageBreak/>
        <w:t xml:space="preserve">CANCER DE LA </w:t>
      </w:r>
      <w:proofErr w:type="gramStart"/>
      <w:r>
        <w:rPr>
          <w:rFonts w:eastAsia="Times New Roman" w:cs="Arial"/>
          <w:color w:val="000000"/>
          <w:sz w:val="24"/>
          <w:szCs w:val="24"/>
        </w:rPr>
        <w:t>PROSTATE  (</w:t>
      </w:r>
      <w:proofErr w:type="gramEnd"/>
      <w:r>
        <w:rPr>
          <w:rFonts w:eastAsia="Times New Roman" w:cs="Arial"/>
          <w:color w:val="000000"/>
          <w:sz w:val="24"/>
          <w:szCs w:val="24"/>
        </w:rPr>
        <w:t>PC)La revue de littérature pour trouver la  prévalence de population basé sur le cancer histologique de prostate chez les vivants et les autopsies en Afrique et d'autres races</w:t>
      </w:r>
      <w:r>
        <w:rPr>
          <w:rFonts w:eastAsia="Times New Roman" w:cs="Arial"/>
          <w:color w:val="000000"/>
          <w:sz w:val="24"/>
          <w:szCs w:val="24"/>
          <w:vertAlign w:val="superscript"/>
        </w:rPr>
        <w:t>2</w:t>
      </w:r>
      <w:r>
        <w:rPr>
          <w:rFonts w:eastAsia="Times New Roman" w:cs="Arial"/>
          <w:color w:val="000000"/>
          <w:sz w:val="24"/>
          <w:szCs w:val="24"/>
        </w:rPr>
        <w:t xml:space="preserve">. </w:t>
      </w:r>
    </w:p>
    <w:p w:rsidR="00177A8D" w:rsidRDefault="00177A8D" w:rsidP="00177A8D">
      <w:pPr>
        <w:spacing w:after="0" w:line="480" w:lineRule="auto"/>
        <w:rPr>
          <w:rFonts w:eastAsia="Times New Roman" w:cs="Arial"/>
          <w:color w:val="000000"/>
          <w:sz w:val="24"/>
          <w:szCs w:val="24"/>
        </w:rPr>
      </w:pPr>
      <w:r>
        <w:rPr>
          <w:rFonts w:eastAsia="Times New Roman" w:cs="Arial"/>
          <w:color w:val="000000"/>
          <w:sz w:val="24"/>
          <w:szCs w:val="24"/>
        </w:rPr>
        <w:t>Comme énumérés au paravant bénigne prostatique hyperplasie/hypertrophié/élargissement (BPH/BPE) est diagnostiqué en trouvant les symptômes de LUTS/IPSS QOL/BS dans l’absence des autres causes d’obstruction de la vessie comme la structure urètre et PC et peut ou peut ne pas être soutenir par DRE ou la taille échographie . Il est confirmé aussi par PSA ≥1.5ng/ml comme la mesure de volume de substitution ≥30mls ainsi que le débit maximale d’urine résiduelle  et post négatif de  résiduel urine</w:t>
      </w:r>
      <w:r>
        <w:rPr>
          <w:rFonts w:eastAsia="Times New Roman" w:cs="Arial"/>
          <w:color w:val="000000"/>
          <w:sz w:val="24"/>
          <w:szCs w:val="24"/>
          <w:vertAlign w:val="superscript"/>
        </w:rPr>
        <w:t>9, 10</w:t>
      </w:r>
      <w:r>
        <w:rPr>
          <w:rFonts w:eastAsia="Times New Roman" w:cs="Arial"/>
          <w:color w:val="000000"/>
          <w:sz w:val="24"/>
          <w:szCs w:val="24"/>
        </w:rPr>
        <w:t xml:space="preserve"> et par les études des autopsies qui montrent l ’ histologique  BPH.  </w:t>
      </w:r>
    </w:p>
    <w:p w:rsidR="00177A8D" w:rsidRDefault="00177A8D" w:rsidP="00177A8D">
      <w:pPr>
        <w:spacing w:after="0" w:line="480" w:lineRule="auto"/>
        <w:rPr>
          <w:rFonts w:eastAsia="Times New Roman" w:cs="Arial"/>
          <w:color w:val="000000"/>
          <w:sz w:val="24"/>
          <w:szCs w:val="24"/>
        </w:rPr>
      </w:pPr>
    </w:p>
    <w:p w:rsidR="00177A8D" w:rsidRDefault="00177A8D" w:rsidP="00177A8D">
      <w:pPr>
        <w:spacing w:after="0" w:line="480" w:lineRule="auto"/>
        <w:rPr>
          <w:rFonts w:eastAsia="Times New Roman" w:cs="Arial"/>
          <w:color w:val="000000"/>
          <w:sz w:val="24"/>
          <w:szCs w:val="24"/>
        </w:rPr>
      </w:pPr>
      <w:r>
        <w:rPr>
          <w:rFonts w:eastAsia="Times New Roman" w:cs="Arial"/>
          <w:color w:val="000000"/>
          <w:sz w:val="24"/>
          <w:szCs w:val="24"/>
        </w:rPr>
        <w:t xml:space="preserve">La gestion de  symptomatic Management  BPH était initialement par alpha bloqeur adrenergique (alfuzosine, doxazosine, terrazosin, tamsulosine) ou par la combinaison des  bloquers et 5 alpha inhibiteurs de la réduction (Finasteride, dutasteride).  La chirurgie est signalé dans la rétention d’urine </w:t>
      </w:r>
      <w:proofErr w:type="gramStart"/>
      <w:r>
        <w:rPr>
          <w:rFonts w:eastAsia="Times New Roman" w:cs="Arial"/>
          <w:color w:val="000000"/>
          <w:sz w:val="24"/>
          <w:szCs w:val="24"/>
        </w:rPr>
        <w:t>réfractaire ,</w:t>
      </w:r>
      <w:proofErr w:type="gramEnd"/>
      <w:r>
        <w:rPr>
          <w:rFonts w:eastAsia="Times New Roman" w:cs="Arial"/>
          <w:color w:val="000000"/>
          <w:sz w:val="24"/>
          <w:szCs w:val="24"/>
        </w:rPr>
        <w:t xml:space="preserve"> la reoccurence de  UTI, diverticulum, cailloux,  néphropathie obstructive et haematurie.  L’approche chirurgical sont transurethral</w:t>
      </w:r>
      <w:proofErr w:type="gramStart"/>
      <w:r>
        <w:rPr>
          <w:rFonts w:eastAsia="Times New Roman" w:cs="Arial"/>
          <w:color w:val="000000"/>
          <w:sz w:val="24"/>
          <w:szCs w:val="24"/>
        </w:rPr>
        <w:t>,  la</w:t>
      </w:r>
      <w:proofErr w:type="gramEnd"/>
      <w:r>
        <w:rPr>
          <w:rFonts w:eastAsia="Times New Roman" w:cs="Arial"/>
          <w:color w:val="000000"/>
          <w:sz w:val="24"/>
          <w:szCs w:val="24"/>
        </w:rPr>
        <w:t xml:space="preserve"> resection de gland prostate (TURP), l’incision transurethral de gland prostate (TUIP) suprapubic prostatectomie ouverte </w:t>
      </w:r>
      <w:r>
        <w:rPr>
          <w:rFonts w:eastAsia="Times New Roman" w:cs="Arial"/>
          <w:color w:val="000000"/>
          <w:sz w:val="24"/>
          <w:szCs w:val="24"/>
          <w:vertAlign w:val="superscript"/>
        </w:rPr>
        <w:t>11,</w:t>
      </w:r>
      <w:r>
        <w:rPr>
          <w:rFonts w:eastAsia="Times New Roman" w:cs="Arial"/>
          <w:color w:val="000000"/>
          <w:sz w:val="24"/>
          <w:szCs w:val="24"/>
        </w:rPr>
        <w:t xml:space="preserve"> </w:t>
      </w:r>
      <w:r>
        <w:rPr>
          <w:rFonts w:eastAsia="Times New Roman" w:cs="Arial"/>
          <w:color w:val="000000"/>
          <w:sz w:val="24"/>
          <w:szCs w:val="24"/>
          <w:vertAlign w:val="superscript"/>
        </w:rPr>
        <w:t>12</w:t>
      </w:r>
      <w:r>
        <w:rPr>
          <w:rFonts w:eastAsia="Times New Roman" w:cs="Arial"/>
          <w:color w:val="000000"/>
          <w:sz w:val="24"/>
          <w:szCs w:val="24"/>
        </w:rPr>
        <w:t>.    Bénigne prostatique hyperplasie peut co-exister avec le PC</w:t>
      </w:r>
      <w:r>
        <w:rPr>
          <w:rFonts w:eastAsia="Times New Roman" w:cs="Arial"/>
          <w:color w:val="000000"/>
          <w:sz w:val="24"/>
          <w:szCs w:val="24"/>
          <w:vertAlign w:val="superscript"/>
        </w:rPr>
        <w:t>6</w:t>
      </w:r>
      <w:proofErr w:type="gramStart"/>
      <w:r>
        <w:rPr>
          <w:rFonts w:eastAsia="Times New Roman" w:cs="Arial"/>
          <w:color w:val="000000"/>
          <w:sz w:val="24"/>
          <w:szCs w:val="24"/>
          <w:vertAlign w:val="superscript"/>
        </w:rPr>
        <w:t>,7,8</w:t>
      </w:r>
      <w:proofErr w:type="gramEnd"/>
      <w:r>
        <w:rPr>
          <w:rFonts w:eastAsia="Times New Roman" w:cs="Arial"/>
          <w:color w:val="000000"/>
          <w:sz w:val="24"/>
          <w:szCs w:val="24"/>
        </w:rPr>
        <w:t>.</w:t>
      </w:r>
      <w:r>
        <w:rPr>
          <w:rFonts w:eastAsia="Times New Roman" w:cs="Arial"/>
          <w:color w:val="000000"/>
          <w:sz w:val="24"/>
          <w:szCs w:val="24"/>
          <w:vertAlign w:val="superscript"/>
        </w:rPr>
        <w:t xml:space="preserve">  </w:t>
      </w:r>
      <w:r>
        <w:rPr>
          <w:rFonts w:eastAsia="Times New Roman" w:cs="Arial"/>
          <w:color w:val="000000"/>
          <w:sz w:val="24"/>
          <w:szCs w:val="24"/>
        </w:rPr>
        <w:t xml:space="preserve"> La méthode de gestion suivre des protocols .pour le PC</w:t>
      </w:r>
      <w:r>
        <w:rPr>
          <w:rFonts w:eastAsia="Times New Roman" w:cs="Arial"/>
          <w:color w:val="000000"/>
          <w:sz w:val="24"/>
          <w:szCs w:val="24"/>
          <w:vertAlign w:val="superscript"/>
        </w:rPr>
        <w:t>13</w:t>
      </w:r>
      <w:proofErr w:type="gramStart"/>
      <w:r>
        <w:rPr>
          <w:rFonts w:eastAsia="Times New Roman" w:cs="Arial"/>
          <w:color w:val="000000"/>
          <w:sz w:val="24"/>
          <w:szCs w:val="24"/>
          <w:vertAlign w:val="superscript"/>
        </w:rPr>
        <w:t>,14</w:t>
      </w:r>
      <w:proofErr w:type="gramEnd"/>
      <w:r>
        <w:rPr>
          <w:rFonts w:eastAsia="Times New Roman" w:cs="Arial"/>
          <w:color w:val="000000"/>
          <w:sz w:val="24"/>
          <w:szCs w:val="24"/>
        </w:rPr>
        <w:t>.</w:t>
      </w:r>
    </w:p>
    <w:p w:rsidR="00177A8D" w:rsidRDefault="00177A8D" w:rsidP="00177A8D">
      <w:pPr>
        <w:spacing w:line="480" w:lineRule="auto"/>
        <w:rPr>
          <w:rFonts w:eastAsia="Times New Roman" w:cs="Arial"/>
          <w:color w:val="000000"/>
          <w:sz w:val="24"/>
          <w:szCs w:val="24"/>
        </w:rPr>
      </w:pPr>
      <w:r>
        <w:rPr>
          <w:rFonts w:eastAsia="Times New Roman" w:cs="Arial"/>
          <w:color w:val="000000"/>
          <w:sz w:val="24"/>
          <w:szCs w:val="24"/>
        </w:rPr>
        <w:t xml:space="preserve">Le cancer de </w:t>
      </w:r>
      <w:proofErr w:type="gramStart"/>
      <w:r>
        <w:rPr>
          <w:rFonts w:eastAsia="Times New Roman" w:cs="Arial"/>
          <w:color w:val="000000"/>
          <w:sz w:val="24"/>
          <w:szCs w:val="24"/>
        </w:rPr>
        <w:t>la  prostate</w:t>
      </w:r>
      <w:proofErr w:type="gramEnd"/>
      <w:r>
        <w:rPr>
          <w:rFonts w:eastAsia="Times New Roman" w:cs="Arial"/>
          <w:color w:val="000000"/>
          <w:sz w:val="24"/>
          <w:szCs w:val="24"/>
        </w:rPr>
        <w:t xml:space="preserve"> (PC) prévalence/ l’incidence est basée dans tous les cas sur l’histologique vérifier  carcinome. </w:t>
      </w:r>
      <w:proofErr w:type="gramStart"/>
      <w:r>
        <w:rPr>
          <w:rFonts w:eastAsia="Times New Roman" w:cs="Arial"/>
          <w:color w:val="000000"/>
          <w:sz w:val="24"/>
          <w:szCs w:val="24"/>
        </w:rPr>
        <w:t>L ’</w:t>
      </w:r>
      <w:proofErr w:type="gramEnd"/>
      <w:r>
        <w:rPr>
          <w:rFonts w:eastAsia="Times New Roman" w:cs="Arial"/>
          <w:color w:val="000000"/>
          <w:sz w:val="24"/>
          <w:szCs w:val="24"/>
        </w:rPr>
        <w:t xml:space="preserve"> incidence peut se basé à l’hôpital, clinique des cas de section et les études prévalence sont basé sur la depistage population de resultats des études d </w:t>
      </w:r>
      <w:r>
        <w:rPr>
          <w:rFonts w:eastAsia="Times New Roman" w:cs="Arial"/>
          <w:color w:val="000000"/>
          <w:sz w:val="24"/>
          <w:szCs w:val="24"/>
        </w:rPr>
        <w:lastRenderedPageBreak/>
        <w:t xml:space="preserve">’autopsie .La gestion de CP depend du niveau ,physique et l’âge de patients. Pour le CP précoce, le traitement est par la prostatectomy </w:t>
      </w:r>
      <w:proofErr w:type="gramStart"/>
      <w:r>
        <w:rPr>
          <w:rFonts w:eastAsia="Times New Roman" w:cs="Arial"/>
          <w:color w:val="000000"/>
          <w:sz w:val="24"/>
          <w:szCs w:val="24"/>
        </w:rPr>
        <w:t>radical  (</w:t>
      </w:r>
      <w:proofErr w:type="gramEnd"/>
      <w:r>
        <w:rPr>
          <w:rFonts w:eastAsia="Times New Roman" w:cs="Arial"/>
          <w:color w:val="000000"/>
          <w:sz w:val="24"/>
          <w:szCs w:val="24"/>
        </w:rPr>
        <w:t xml:space="preserve">RP), brachytherapie ou la radiothérapie externe  (EBRT).  Traitements local pour le CP avancé  est  par le neoadjuvant hormonal ou  chimiothérapie sauvetage RP, brachytherapie/EBRT ou la  thérapie hormonale  Pour les cas avancé et les cas métastatique , hormonale ou traitement chimiothérapie utilisé </w:t>
      </w:r>
      <w:r>
        <w:rPr>
          <w:rFonts w:eastAsia="Times New Roman" w:cs="Arial"/>
          <w:color w:val="000000"/>
          <w:sz w:val="24"/>
          <w:szCs w:val="24"/>
          <w:vertAlign w:val="superscript"/>
        </w:rPr>
        <w:t>13,14</w:t>
      </w:r>
      <w:r>
        <w:rPr>
          <w:rFonts w:eastAsia="Times New Roman" w:cs="Arial"/>
          <w:color w:val="000000"/>
          <w:sz w:val="24"/>
          <w:szCs w:val="24"/>
        </w:rPr>
        <w:t>.</w:t>
      </w:r>
    </w:p>
    <w:p w:rsidR="00177A8D" w:rsidRDefault="00177A8D" w:rsidP="00177A8D">
      <w:pPr>
        <w:spacing w:line="480" w:lineRule="auto"/>
        <w:rPr>
          <w:rFonts w:eastAsia="Times New Roman" w:cs="Arial"/>
          <w:color w:val="000000"/>
          <w:sz w:val="24"/>
          <w:szCs w:val="24"/>
        </w:rPr>
      </w:pPr>
    </w:p>
    <w:p w:rsidR="00177A8D" w:rsidRDefault="00177A8D" w:rsidP="00177A8D">
      <w:pPr>
        <w:spacing w:after="0" w:line="480" w:lineRule="auto"/>
        <w:rPr>
          <w:rFonts w:eastAsia="Times New Roman" w:cs="Arial"/>
          <w:b/>
          <w:color w:val="000000"/>
          <w:sz w:val="24"/>
          <w:szCs w:val="24"/>
        </w:rPr>
      </w:pPr>
      <w:r>
        <w:rPr>
          <w:rFonts w:eastAsia="Times New Roman" w:cs="Arial"/>
          <w:b/>
          <w:color w:val="000000"/>
          <w:sz w:val="24"/>
          <w:szCs w:val="24"/>
        </w:rPr>
        <w:t>MATERIAUX ET MÉTHODES</w:t>
      </w:r>
    </w:p>
    <w:p w:rsidR="00177A8D" w:rsidRDefault="00177A8D" w:rsidP="00177A8D">
      <w:pPr>
        <w:spacing w:line="480" w:lineRule="auto"/>
        <w:rPr>
          <w:color w:val="000000"/>
          <w:sz w:val="24"/>
          <w:szCs w:val="24"/>
        </w:rPr>
      </w:pPr>
      <w:r>
        <w:rPr>
          <w:color w:val="000000"/>
          <w:sz w:val="24"/>
          <w:szCs w:val="24"/>
        </w:rPr>
        <w:t>La revue de la littérature viens de Medline de 1969 jusqu'à présent ce qui inclut l'oeuvre fait sur la prévalence de BPH, BPH co-existant avec le  prostate cancer et prostate cancer des etats uni , Royaume Uni, l'Europe, l’inde de l’Ouest, Afrique de l'ouest, Afrique de Sud, Europe, et d’autres parts l’Afrique, Japon, l'Asie e d’autres part ont été utilisés .Des revues publié sur la prévalence en Caucasien , Afro- Americains, , l’Inde de l’Ouest , les Africains en diaspora, les Africains en Afrique,Hispanique, .Asiatiques et d'autres ont été identifiés et  évaluer  la qualité de l'évidence utilisé été décrite et la résumé de leurs conclusions a été comparé.</w:t>
      </w:r>
    </w:p>
    <w:p w:rsidR="00177A8D" w:rsidRDefault="00177A8D" w:rsidP="00177A8D">
      <w:pPr>
        <w:spacing w:line="480" w:lineRule="auto"/>
        <w:rPr>
          <w:color w:val="000000"/>
          <w:sz w:val="24"/>
          <w:szCs w:val="24"/>
        </w:rPr>
      </w:pPr>
      <w:r>
        <w:rPr>
          <w:color w:val="000000"/>
          <w:sz w:val="24"/>
          <w:szCs w:val="24"/>
        </w:rPr>
        <w:t xml:space="preserve">Les fortes puissance ont été discuté </w:t>
      </w:r>
    </w:p>
    <w:p w:rsidR="00177A8D" w:rsidRDefault="00177A8D" w:rsidP="00177A8D">
      <w:pPr>
        <w:spacing w:line="480" w:lineRule="auto"/>
        <w:rPr>
          <w:color w:val="000000"/>
          <w:sz w:val="24"/>
          <w:szCs w:val="24"/>
        </w:rPr>
      </w:pPr>
      <w:r>
        <w:rPr>
          <w:rFonts w:eastAsia="Times New Roman" w:cs="Arial"/>
          <w:color w:val="000000"/>
          <w:sz w:val="24"/>
          <w:szCs w:val="24"/>
        </w:rPr>
        <w:t xml:space="preserve">METHODE </w:t>
      </w:r>
      <w:proofErr w:type="gramStart"/>
      <w:r>
        <w:rPr>
          <w:rFonts w:eastAsia="Times New Roman" w:cs="Arial"/>
          <w:color w:val="000000"/>
          <w:sz w:val="24"/>
          <w:szCs w:val="24"/>
        </w:rPr>
        <w:t>STATISTIQUE :</w:t>
      </w:r>
      <w:proofErr w:type="gramEnd"/>
      <w:r>
        <w:rPr>
          <w:rFonts w:eastAsia="Times New Roman" w:cs="Arial"/>
          <w:color w:val="000000"/>
          <w:sz w:val="24"/>
          <w:szCs w:val="24"/>
        </w:rPr>
        <w:t xml:space="preserve">   Les données obtenues comprennent les démographie de caractéristiques clinicale</w:t>
      </w:r>
      <w:r>
        <w:rPr>
          <w:color w:val="000000"/>
          <w:sz w:val="24"/>
          <w:szCs w:val="24"/>
        </w:rPr>
        <w:t xml:space="preserve"> , enquête pertinentes,gestions offert et les résultats analysé en utilisant l’ensemble statistique pour les sciences sociales (SPSS) version 20. Les résultats des données étaient exprimé comme pourcentage et le moyen </w:t>
      </w:r>
      <w:r>
        <w:rPr>
          <w:rFonts w:cs="Calibri"/>
          <w:color w:val="000000"/>
          <w:sz w:val="24"/>
          <w:szCs w:val="24"/>
        </w:rPr>
        <w:t>±</w:t>
      </w:r>
      <w:r>
        <w:rPr>
          <w:color w:val="000000"/>
          <w:sz w:val="24"/>
          <w:szCs w:val="24"/>
        </w:rPr>
        <w:t xml:space="preserve"> dérivée </w:t>
      </w:r>
      <w:proofErr w:type="gramStart"/>
      <w:r>
        <w:rPr>
          <w:color w:val="000000"/>
          <w:sz w:val="24"/>
          <w:szCs w:val="24"/>
        </w:rPr>
        <w:t>standard .</w:t>
      </w:r>
      <w:proofErr w:type="gramEnd"/>
      <w:r>
        <w:rPr>
          <w:color w:val="000000"/>
          <w:sz w:val="24"/>
          <w:szCs w:val="24"/>
        </w:rPr>
        <w:t xml:space="preserve"> P-valeur de moins de 0.05 était considéré </w:t>
      </w:r>
      <w:proofErr w:type="gramStart"/>
      <w:r>
        <w:rPr>
          <w:color w:val="000000"/>
          <w:sz w:val="24"/>
          <w:szCs w:val="24"/>
        </w:rPr>
        <w:t>important .</w:t>
      </w:r>
      <w:proofErr w:type="gramEnd"/>
    </w:p>
    <w:p w:rsidR="00177A8D" w:rsidRDefault="00177A8D" w:rsidP="00177A8D">
      <w:pPr>
        <w:spacing w:line="480" w:lineRule="auto"/>
        <w:rPr>
          <w:rFonts w:eastAsia="Times New Roman" w:cs="Arial"/>
          <w:color w:val="000000"/>
          <w:sz w:val="24"/>
          <w:szCs w:val="24"/>
        </w:rPr>
      </w:pPr>
    </w:p>
    <w:p w:rsidR="00177A8D" w:rsidRDefault="00177A8D" w:rsidP="00177A8D">
      <w:pPr>
        <w:spacing w:line="480" w:lineRule="auto"/>
        <w:rPr>
          <w:rFonts w:eastAsia="Times New Roman" w:cs="Arial"/>
          <w:b/>
          <w:color w:val="000000"/>
          <w:sz w:val="24"/>
          <w:szCs w:val="24"/>
        </w:rPr>
      </w:pPr>
      <w:r>
        <w:rPr>
          <w:rFonts w:eastAsia="Times New Roman" w:cs="Arial"/>
          <w:b/>
          <w:color w:val="000000"/>
          <w:sz w:val="24"/>
          <w:szCs w:val="24"/>
        </w:rPr>
        <w:t>RESULTATS</w:t>
      </w:r>
    </w:p>
    <w:p w:rsidR="00177A8D" w:rsidRDefault="00177A8D" w:rsidP="00177A8D">
      <w:pPr>
        <w:spacing w:after="0" w:line="480" w:lineRule="auto"/>
        <w:rPr>
          <w:rFonts w:eastAsia="Times New Roman" w:cs="Arial"/>
          <w:color w:val="000000"/>
          <w:sz w:val="24"/>
          <w:szCs w:val="24"/>
          <w:u w:val="single"/>
        </w:rPr>
      </w:pPr>
      <w:r>
        <w:rPr>
          <w:rFonts w:eastAsia="Times New Roman" w:cs="Arial"/>
          <w:color w:val="000000"/>
          <w:sz w:val="24"/>
          <w:szCs w:val="24"/>
          <w:u w:val="single"/>
        </w:rPr>
        <w:t>BÉNIGNE PROSTATIQUE HYPERPLASIE (BPH)</w:t>
      </w:r>
    </w:p>
    <w:p w:rsidR="00177A8D" w:rsidRDefault="00177A8D" w:rsidP="00177A8D">
      <w:pPr>
        <w:spacing w:after="0" w:line="480" w:lineRule="auto"/>
        <w:rPr>
          <w:rFonts w:eastAsia="Times New Roman" w:cs="Arial"/>
          <w:color w:val="000000"/>
          <w:sz w:val="24"/>
          <w:szCs w:val="24"/>
        </w:rPr>
      </w:pPr>
      <w:r>
        <w:rPr>
          <w:rFonts w:eastAsia="Times New Roman" w:cs="Arial"/>
          <w:color w:val="000000"/>
          <w:sz w:val="24"/>
          <w:szCs w:val="24"/>
        </w:rPr>
        <w:t>A l'hôpital d’enseignement de  Korle Bu (KBTH), le  BPH clinical est la cause majeur de la retention d’urine chez les hommes adultes  et l’haematurie chez les hommes adultes basé sur L’échographie abdominale / transrectal CT scan/MRI scan, urethrocystoscopy, biopsie and histologie</w:t>
      </w:r>
      <w:r>
        <w:rPr>
          <w:rFonts w:eastAsia="Times New Roman" w:cs="Arial"/>
          <w:color w:val="000000"/>
          <w:sz w:val="24"/>
          <w:szCs w:val="24"/>
          <w:vertAlign w:val="superscript"/>
        </w:rPr>
        <w:t>15, 16, 17</w:t>
      </w:r>
      <w:r>
        <w:rPr>
          <w:rFonts w:eastAsia="Times New Roman" w:cs="Arial"/>
          <w:color w:val="000000"/>
          <w:sz w:val="24"/>
          <w:szCs w:val="24"/>
        </w:rPr>
        <w:t xml:space="preserve"> de DRE comme montré en Fig 1, Fig 2, 3.  </w:t>
      </w:r>
    </w:p>
    <w:p w:rsidR="00177A8D" w:rsidRDefault="00177A8D" w:rsidP="00177A8D">
      <w:pPr>
        <w:spacing w:after="0" w:line="480" w:lineRule="auto"/>
        <w:rPr>
          <w:rFonts w:eastAsia="Times New Roman" w:cs="Arial"/>
          <w:color w:val="000000"/>
          <w:sz w:val="24"/>
          <w:szCs w:val="24"/>
          <w:vertAlign w:val="superscript"/>
        </w:rPr>
      </w:pPr>
      <w:r>
        <w:rPr>
          <w:rFonts w:eastAsia="Times New Roman" w:cs="Arial"/>
          <w:color w:val="000000"/>
          <w:sz w:val="24"/>
          <w:szCs w:val="24"/>
        </w:rPr>
        <w:t>Dans l’étude de Ghana</w:t>
      </w:r>
      <w:r>
        <w:rPr>
          <w:rFonts w:eastAsia="Times New Roman" w:cs="Arial"/>
          <w:color w:val="000000"/>
          <w:sz w:val="24"/>
          <w:szCs w:val="24"/>
          <w:vertAlign w:val="superscript"/>
        </w:rPr>
        <w:t>18</w:t>
      </w:r>
      <w:r>
        <w:rPr>
          <w:rFonts w:eastAsia="Times New Roman" w:cs="Arial"/>
          <w:color w:val="000000"/>
          <w:sz w:val="24"/>
          <w:szCs w:val="24"/>
        </w:rPr>
        <w:t xml:space="preserve"> l’ennui de BPH/BPE et LUTS en 1038 sujet âgé  entre 50 – 74 ans qui ont suivi la dépistage pour PC + BPH/BPE a révélé 73 cas avec le CP et les cas avec PSA ≥20ng/ml étaient 15.  Ceux ci ont suivi la dépistage pour BPH/BPE.   </w:t>
      </w:r>
      <w:proofErr w:type="gramStart"/>
      <w:r>
        <w:rPr>
          <w:rFonts w:eastAsia="Times New Roman" w:cs="Arial"/>
          <w:color w:val="000000"/>
          <w:sz w:val="24"/>
          <w:szCs w:val="24"/>
        </w:rPr>
        <w:t>Les résultats ont été montré dans les tableaux Tableau 2, Tableau3 and Tableau4.</w:t>
      </w:r>
      <w:proofErr w:type="gramEnd"/>
      <w:r>
        <w:rPr>
          <w:rFonts w:eastAsia="Times New Roman" w:cs="Arial"/>
          <w:color w:val="000000"/>
          <w:sz w:val="24"/>
          <w:szCs w:val="24"/>
        </w:rPr>
        <w:t xml:space="preserve">  La prévalence de  BPH était 20 à 62% selon les paramètres utilisé .La prévalence de BPH s'élève  à   35 – 60% dans les individus âgé de plus de 70 ans .La prévalence estimé de  BPH /BPE est plus grand au recensement de 2000 à Accra avec une population2,905,736 des hommes âgé 50 – 74 soient 125,443. La prévalence des cas </w:t>
      </w:r>
      <w:proofErr w:type="gramStart"/>
      <w:r>
        <w:rPr>
          <w:rFonts w:eastAsia="Times New Roman" w:cs="Arial"/>
          <w:color w:val="000000"/>
          <w:sz w:val="24"/>
          <w:szCs w:val="24"/>
        </w:rPr>
        <w:t>de  BPH</w:t>
      </w:r>
      <w:proofErr w:type="gramEnd"/>
      <w:r>
        <w:rPr>
          <w:rFonts w:eastAsia="Times New Roman" w:cs="Arial"/>
          <w:color w:val="000000"/>
          <w:sz w:val="24"/>
          <w:szCs w:val="24"/>
        </w:rPr>
        <w:t xml:space="preserve"> étaient 77,775(62%) BPH sur DRE et 20% symptomatic BPH avec IPSS 8 – 35 ce qui fait 20% of </w:t>
      </w:r>
      <w:proofErr w:type="gramStart"/>
      <w:r>
        <w:rPr>
          <w:rFonts w:eastAsia="Times New Roman" w:cs="Arial"/>
          <w:color w:val="000000"/>
          <w:sz w:val="24"/>
          <w:szCs w:val="24"/>
        </w:rPr>
        <w:t>125,443 ,</w:t>
      </w:r>
      <w:proofErr w:type="gramEnd"/>
      <w:r>
        <w:rPr>
          <w:rFonts w:eastAsia="Times New Roman" w:cs="Arial"/>
          <w:color w:val="000000"/>
          <w:sz w:val="24"/>
          <w:szCs w:val="24"/>
        </w:rPr>
        <w:t xml:space="preserve"> 25,089. Cela rend le BPH un problème de santé </w:t>
      </w:r>
      <w:proofErr w:type="gramStart"/>
      <w:r>
        <w:rPr>
          <w:rFonts w:eastAsia="Times New Roman" w:cs="Arial"/>
          <w:color w:val="000000"/>
          <w:sz w:val="24"/>
          <w:szCs w:val="24"/>
        </w:rPr>
        <w:t>publique  (</w:t>
      </w:r>
      <w:proofErr w:type="gramEnd"/>
      <w:r>
        <w:rPr>
          <w:rFonts w:eastAsia="Times New Roman" w:cs="Arial"/>
          <w:color w:val="000000"/>
          <w:sz w:val="24"/>
          <w:szCs w:val="24"/>
        </w:rPr>
        <w:t>Fig 3).</w:t>
      </w:r>
    </w:p>
    <w:p w:rsidR="00177A8D" w:rsidRDefault="00177A8D" w:rsidP="00177A8D">
      <w:pPr>
        <w:spacing w:line="480" w:lineRule="auto"/>
        <w:rPr>
          <w:sz w:val="24"/>
          <w:szCs w:val="24"/>
        </w:rPr>
      </w:pPr>
      <w:r>
        <w:rPr>
          <w:sz w:val="24"/>
          <w:szCs w:val="24"/>
        </w:rPr>
        <w:t xml:space="preserve">En Africa de sud , les rapports de l’association urologie sud africain indique que 1:3 des hommes de L’âge de  45 ans ont connu le LUTS en raison de  BPH et 50% des hommes à L’âge de 60 ans ont des  symptômes en raison de BPH et ont donné les  guides pour la gestion </w:t>
      </w:r>
      <w:r>
        <w:rPr>
          <w:sz w:val="24"/>
          <w:szCs w:val="24"/>
          <w:vertAlign w:val="superscript"/>
        </w:rPr>
        <w:t>11,12</w:t>
      </w:r>
      <w:r>
        <w:rPr>
          <w:sz w:val="24"/>
          <w:szCs w:val="24"/>
        </w:rPr>
        <w:t>.</w:t>
      </w:r>
      <w:r>
        <w:rPr>
          <w:sz w:val="24"/>
          <w:szCs w:val="24"/>
          <w:vertAlign w:val="superscript"/>
        </w:rPr>
        <w:t xml:space="preserve"> </w:t>
      </w:r>
    </w:p>
    <w:p w:rsidR="00177A8D" w:rsidRDefault="00177A8D" w:rsidP="00177A8D">
      <w:pPr>
        <w:spacing w:after="0" w:line="480" w:lineRule="auto"/>
        <w:rPr>
          <w:sz w:val="24"/>
          <w:szCs w:val="24"/>
          <w:u w:val="single"/>
        </w:rPr>
      </w:pPr>
      <w:r>
        <w:rPr>
          <w:sz w:val="24"/>
          <w:szCs w:val="24"/>
          <w:u w:val="single"/>
        </w:rPr>
        <w:t xml:space="preserve">CO-EXISTENCE DE BPH </w:t>
      </w:r>
      <w:proofErr w:type="gramStart"/>
      <w:r>
        <w:rPr>
          <w:sz w:val="24"/>
          <w:szCs w:val="24"/>
          <w:u w:val="single"/>
        </w:rPr>
        <w:t>et</w:t>
      </w:r>
      <w:proofErr w:type="gramEnd"/>
      <w:r>
        <w:rPr>
          <w:sz w:val="24"/>
          <w:szCs w:val="24"/>
          <w:u w:val="single"/>
        </w:rPr>
        <w:t xml:space="preserve"> PC</w:t>
      </w:r>
    </w:p>
    <w:p w:rsidR="00177A8D" w:rsidRDefault="00177A8D" w:rsidP="00177A8D">
      <w:pPr>
        <w:spacing w:after="0" w:line="480" w:lineRule="auto"/>
        <w:rPr>
          <w:sz w:val="24"/>
          <w:szCs w:val="24"/>
        </w:rPr>
      </w:pPr>
      <w:r>
        <w:rPr>
          <w:sz w:val="24"/>
          <w:szCs w:val="24"/>
        </w:rPr>
        <w:lastRenderedPageBreak/>
        <w:t xml:space="preserve">L'étude de Ghana </w:t>
      </w:r>
      <w:r>
        <w:rPr>
          <w:sz w:val="24"/>
          <w:szCs w:val="24"/>
          <w:vertAlign w:val="superscript"/>
        </w:rPr>
        <w:t>19</w:t>
      </w:r>
      <w:proofErr w:type="gramStart"/>
      <w:r>
        <w:rPr>
          <w:sz w:val="24"/>
          <w:szCs w:val="24"/>
          <w:vertAlign w:val="superscript"/>
        </w:rPr>
        <w:t>,20</w:t>
      </w:r>
      <w:proofErr w:type="gramEnd"/>
      <w:r>
        <w:rPr>
          <w:sz w:val="24"/>
          <w:szCs w:val="24"/>
          <w:vertAlign w:val="superscript"/>
        </w:rPr>
        <w:t xml:space="preserve"> </w:t>
      </w:r>
      <w:r>
        <w:rPr>
          <w:sz w:val="24"/>
          <w:szCs w:val="24"/>
        </w:rPr>
        <w:t>a etablit que tout les 73 cas de CP a en plus des evidence histologique de BPH.  Armenian</w:t>
      </w:r>
      <w:r>
        <w:rPr>
          <w:sz w:val="24"/>
          <w:szCs w:val="24"/>
          <w:vertAlign w:val="superscript"/>
        </w:rPr>
        <w:t>6</w:t>
      </w:r>
      <w:r>
        <w:rPr>
          <w:sz w:val="24"/>
          <w:szCs w:val="24"/>
        </w:rPr>
        <w:t xml:space="preserve"> a remarqué que les études retrospective et prospective des patients suivi et traité pour symptomatique BPH montre l’evidence CP  Il était remarqué que le BPH et PC montre une prévalence parallèle </w:t>
      </w:r>
      <w:r>
        <w:rPr>
          <w:sz w:val="24"/>
          <w:szCs w:val="24"/>
          <w:vertAlign w:val="superscript"/>
        </w:rPr>
        <w:t>7</w:t>
      </w:r>
      <w:r>
        <w:rPr>
          <w:sz w:val="24"/>
          <w:szCs w:val="24"/>
        </w:rPr>
        <w:t xml:space="preserve"> et que les études d' autopsie montre 82.2% BPH et 43.6% - 80% PC à l’âge 90 ans.  Le PC </w:t>
      </w:r>
      <w:proofErr w:type="gramStart"/>
      <w:r>
        <w:rPr>
          <w:sz w:val="24"/>
          <w:szCs w:val="24"/>
        </w:rPr>
        <w:t>a</w:t>
      </w:r>
      <w:proofErr w:type="gramEnd"/>
      <w:r>
        <w:rPr>
          <w:sz w:val="24"/>
          <w:szCs w:val="24"/>
        </w:rPr>
        <w:t xml:space="preserve"> été trouvé en 3% –20% de TURP chippings pour le BPH.  </w:t>
      </w:r>
      <w:proofErr w:type="gramStart"/>
      <w:r>
        <w:rPr>
          <w:sz w:val="24"/>
          <w:szCs w:val="24"/>
        </w:rPr>
        <w:t>L ’</w:t>
      </w:r>
      <w:proofErr w:type="gramEnd"/>
      <w:r>
        <w:rPr>
          <w:sz w:val="24"/>
          <w:szCs w:val="24"/>
        </w:rPr>
        <w:t xml:space="preserve"> évidence de clinique pour CP dans les cas de traitement chirurgical de BPH est &gt;3% ainsi qu’il est important d'exclure le PC chez les patients suivant le traitement pour le BPH.   Au Japan, Suzuki</w:t>
      </w:r>
      <w:r>
        <w:rPr>
          <w:sz w:val="24"/>
          <w:szCs w:val="24"/>
          <w:vertAlign w:val="superscript"/>
        </w:rPr>
        <w:t xml:space="preserve">8 </w:t>
      </w:r>
      <w:r>
        <w:rPr>
          <w:sz w:val="24"/>
          <w:szCs w:val="24"/>
        </w:rPr>
        <w:t>a rapporté que la prévalence de BPH par les études d’ autopsie est à l’âge de 40 ans 20%, 50 ans  40%, 60 ans  70% et 70 ans 80%.  La prévalence de PC à 90 ans 100%, 70 ans 40%, et  50 ans 30%, confirme l’importance de chercher le CP dans les cas clinical de BPH par biopsie et des études histologique dans les cas anormales de  DRE et PSA</w:t>
      </w:r>
      <w:r>
        <w:rPr>
          <w:sz w:val="24"/>
          <w:szCs w:val="24"/>
          <w:vertAlign w:val="superscript"/>
        </w:rPr>
        <w:t>5,6,7,8,19,20</w:t>
      </w:r>
      <w:r>
        <w:rPr>
          <w:sz w:val="24"/>
          <w:szCs w:val="24"/>
        </w:rPr>
        <w:t>.</w:t>
      </w:r>
    </w:p>
    <w:p w:rsidR="00177A8D" w:rsidRDefault="00177A8D" w:rsidP="00177A8D">
      <w:pPr>
        <w:spacing w:after="0" w:line="480" w:lineRule="auto"/>
        <w:rPr>
          <w:sz w:val="24"/>
          <w:szCs w:val="24"/>
          <w:u w:val="single"/>
        </w:rPr>
      </w:pPr>
      <w:r>
        <w:rPr>
          <w:sz w:val="24"/>
          <w:szCs w:val="24"/>
          <w:u w:val="single"/>
        </w:rPr>
        <w:t xml:space="preserve">CANCER DE LA PROSTATE </w:t>
      </w:r>
    </w:p>
    <w:p w:rsidR="00177A8D" w:rsidRDefault="00177A8D" w:rsidP="00177A8D">
      <w:pPr>
        <w:spacing w:after="0" w:line="480" w:lineRule="auto"/>
        <w:rPr>
          <w:sz w:val="24"/>
          <w:szCs w:val="24"/>
        </w:rPr>
      </w:pPr>
      <w:r>
        <w:rPr>
          <w:sz w:val="24"/>
          <w:szCs w:val="24"/>
        </w:rPr>
        <w:t xml:space="preserve">Au Ghana </w:t>
      </w:r>
      <w:proofErr w:type="gramStart"/>
      <w:r>
        <w:rPr>
          <w:sz w:val="24"/>
          <w:szCs w:val="24"/>
        </w:rPr>
        <w:t>dans  l’étude</w:t>
      </w:r>
      <w:proofErr w:type="gramEnd"/>
      <w:r>
        <w:rPr>
          <w:sz w:val="24"/>
          <w:szCs w:val="24"/>
        </w:rPr>
        <w:t xml:space="preserve"> basé sur la population, le détecteur d'écran PC utilisant le PSA ≥4ng/ml était 6.3% mais en utilisant le PSA &gt;2.5ng/ml était 7%.Les étapes étaient  T1 24.6%, T2 56%, T1 – 2 81%, T3 11%, T4 3%, T1 – 4 M1 4% (Fig 4)</w:t>
      </w:r>
      <w:r>
        <w:rPr>
          <w:sz w:val="24"/>
          <w:szCs w:val="24"/>
          <w:vertAlign w:val="superscript"/>
        </w:rPr>
        <w:t>19, 20</w:t>
      </w:r>
    </w:p>
    <w:p w:rsidR="00177A8D" w:rsidRDefault="00177A8D" w:rsidP="00177A8D">
      <w:pPr>
        <w:spacing w:line="480" w:lineRule="auto"/>
        <w:rPr>
          <w:sz w:val="24"/>
          <w:szCs w:val="24"/>
        </w:rPr>
      </w:pPr>
      <w:r>
        <w:rPr>
          <w:sz w:val="24"/>
          <w:szCs w:val="24"/>
        </w:rPr>
        <w:t xml:space="preserve">D’autres resultats d'étude de Ghana etait en baisse de migration d'étape </w:t>
      </w:r>
      <w:proofErr w:type="gramStart"/>
      <w:r>
        <w:rPr>
          <w:sz w:val="24"/>
          <w:szCs w:val="24"/>
        </w:rPr>
        <w:t>de  diagnostic</w:t>
      </w:r>
      <w:proofErr w:type="gramEnd"/>
      <w:r>
        <w:rPr>
          <w:sz w:val="24"/>
          <w:szCs w:val="24"/>
        </w:rPr>
        <w:t xml:space="preserve"> retrospective contre la population et l’étude expansion était statiquement significative. Les études étaient retrospective, la population et expansion de cas ,les étapes étaient précoce 15%, 81%, 62%, avancé localement  30%, 15%, 25%, et métastatique 55%, 4% et 13% respectivement.  Les facteurs de risque identifié étaient indice métabolique (BMI), l’âge avancé&gt;60 </w:t>
      </w:r>
      <w:proofErr w:type="gramStart"/>
      <w:r>
        <w:rPr>
          <w:sz w:val="24"/>
          <w:szCs w:val="24"/>
        </w:rPr>
        <w:t>ans ,Chromosome</w:t>
      </w:r>
      <w:proofErr w:type="gramEnd"/>
      <w:r>
        <w:rPr>
          <w:sz w:val="24"/>
          <w:szCs w:val="24"/>
        </w:rPr>
        <w:t xml:space="preserve"> 10p14 associé à CP au Ghana, maladie aggressive de PC , GS ≥7 </w:t>
      </w:r>
      <w:r>
        <w:rPr>
          <w:sz w:val="24"/>
          <w:szCs w:val="24"/>
        </w:rPr>
        <w:lastRenderedPageBreak/>
        <w:t>(68%) et PSA &gt;52ng/ml associé au chromosome 5q31.3, niveau inférieur PC GS &lt;7 (32%) associé au chromosome Xq28</w:t>
      </w:r>
      <w:r>
        <w:rPr>
          <w:sz w:val="24"/>
          <w:szCs w:val="24"/>
          <w:vertAlign w:val="superscript"/>
        </w:rPr>
        <w:t xml:space="preserve">17, 19, 20 </w:t>
      </w:r>
      <w:r>
        <w:rPr>
          <w:sz w:val="24"/>
          <w:szCs w:val="24"/>
        </w:rPr>
        <w:t xml:space="preserve"> et 6q21</w:t>
      </w:r>
      <w:r>
        <w:rPr>
          <w:sz w:val="24"/>
          <w:szCs w:val="24"/>
          <w:vertAlign w:val="superscript"/>
        </w:rPr>
        <w:t xml:space="preserve"> 21, 22, 23, 24, 25, 26, 27</w:t>
      </w:r>
    </w:p>
    <w:p w:rsidR="00177A8D" w:rsidRDefault="00177A8D" w:rsidP="00177A8D">
      <w:pPr>
        <w:spacing w:line="480" w:lineRule="auto"/>
        <w:rPr>
          <w:sz w:val="24"/>
          <w:szCs w:val="24"/>
        </w:rPr>
      </w:pPr>
      <w:r>
        <w:rPr>
          <w:sz w:val="24"/>
          <w:szCs w:val="24"/>
        </w:rPr>
        <w:t>La prévalence de PC en Afrique est globalement rapporté comme Globocan</w:t>
      </w:r>
      <w:r>
        <w:rPr>
          <w:sz w:val="24"/>
          <w:szCs w:val="24"/>
          <w:vertAlign w:val="superscript"/>
        </w:rPr>
        <w:t>28</w:t>
      </w:r>
      <w:r>
        <w:rPr>
          <w:sz w:val="24"/>
          <w:szCs w:val="24"/>
        </w:rPr>
        <w:t xml:space="preserve"> il est </w:t>
      </w:r>
      <w:proofErr w:type="gramStart"/>
      <w:r>
        <w:rPr>
          <w:sz w:val="24"/>
          <w:szCs w:val="24"/>
        </w:rPr>
        <w:t>ainsi  par</w:t>
      </w:r>
      <w:proofErr w:type="gramEnd"/>
      <w:r>
        <w:rPr>
          <w:sz w:val="24"/>
          <w:szCs w:val="24"/>
        </w:rPr>
        <w:t xml:space="preserve"> 100,000 population.  La haute prévalence de 227:100,000 était rapporté </w:t>
      </w:r>
      <w:proofErr w:type="gramStart"/>
      <w:r>
        <w:rPr>
          <w:sz w:val="24"/>
          <w:szCs w:val="24"/>
        </w:rPr>
        <w:t>de  Martinique</w:t>
      </w:r>
      <w:proofErr w:type="gramEnd"/>
      <w:r>
        <w:rPr>
          <w:sz w:val="24"/>
          <w:szCs w:val="24"/>
        </w:rPr>
        <w:t xml:space="preserve">, Norvège,  Suède ,Trinité et Tobago 123.4:105,000  en  Australie et 129.7 – 98.2 per 100,000  Aux États Unis. Le rapport comprend la prévalence chez les Afriques noirs, ce qui est faible  20 – 37 per 100,000 en Africa de l’Ouest et l’Afrique de l'Est alors que l’Afrique de Sud a 61.8 per 100,000. La figure de mortalité étaient le plus haut en Caraïbe et Sub Saharen Africain   19 – 29 per 100,000 par la raison de </w:t>
      </w:r>
      <w:proofErr w:type="gramStart"/>
      <w:r>
        <w:rPr>
          <w:sz w:val="24"/>
          <w:szCs w:val="24"/>
        </w:rPr>
        <w:t>la  maladie</w:t>
      </w:r>
      <w:proofErr w:type="gramEnd"/>
      <w:r>
        <w:rPr>
          <w:sz w:val="24"/>
          <w:szCs w:val="24"/>
        </w:rPr>
        <w:t xml:space="preserve"> aggressive et état avancé lors de présentation et faible en Amérique et  Europe 10 per 100,000.la mortalité bas chez les Européens et Américain est par la raison de découverte précoce de CP par examen de  PSA et la dépistage et la disponibilité de modalités de traitement efficace  comme RP, la thérapie de radiation </w:t>
      </w:r>
    </w:p>
    <w:p w:rsidR="00177A8D" w:rsidRDefault="00177A8D" w:rsidP="00177A8D">
      <w:pPr>
        <w:spacing w:line="480" w:lineRule="auto"/>
        <w:rPr>
          <w:sz w:val="24"/>
          <w:szCs w:val="24"/>
        </w:rPr>
      </w:pPr>
    </w:p>
    <w:p w:rsidR="00177A8D" w:rsidRDefault="00177A8D" w:rsidP="00177A8D">
      <w:pPr>
        <w:spacing w:line="480" w:lineRule="auto"/>
        <w:rPr>
          <w:sz w:val="24"/>
          <w:szCs w:val="24"/>
        </w:rPr>
      </w:pPr>
      <w:r>
        <w:rPr>
          <w:sz w:val="24"/>
          <w:szCs w:val="24"/>
        </w:rPr>
        <w:t>(</w:t>
      </w:r>
      <w:proofErr w:type="gramStart"/>
      <w:r>
        <w:rPr>
          <w:sz w:val="24"/>
          <w:szCs w:val="24"/>
        </w:rPr>
        <w:t>brachytherapie</w:t>
      </w:r>
      <w:proofErr w:type="gramEnd"/>
      <w:r>
        <w:rPr>
          <w:sz w:val="24"/>
          <w:szCs w:val="24"/>
        </w:rPr>
        <w:t xml:space="preserve"> &amp; la radiation externeEBRT). Le rapport de la prévalence bas de l’Afrique est probablement par raison du rapport insuffisant.La manque de registre de </w:t>
      </w:r>
      <w:proofErr w:type="gramStart"/>
      <w:r>
        <w:rPr>
          <w:sz w:val="24"/>
          <w:szCs w:val="24"/>
        </w:rPr>
        <w:t>cancer ,</w:t>
      </w:r>
      <w:proofErr w:type="gramEnd"/>
      <w:r>
        <w:rPr>
          <w:sz w:val="24"/>
          <w:szCs w:val="24"/>
        </w:rPr>
        <w:t xml:space="preserve"> moins de dépistage et le test inférieur de  PSA . SEER</w:t>
      </w:r>
      <w:r>
        <w:rPr>
          <w:sz w:val="24"/>
          <w:szCs w:val="24"/>
          <w:vertAlign w:val="superscript"/>
        </w:rPr>
        <w:t xml:space="preserve">29  </w:t>
      </w:r>
      <w:r>
        <w:rPr>
          <w:sz w:val="24"/>
          <w:szCs w:val="24"/>
        </w:rPr>
        <w:t xml:space="preserve"> a rapporté des problèmes similaires chez </w:t>
      </w:r>
      <w:proofErr w:type="gramStart"/>
      <w:r>
        <w:rPr>
          <w:sz w:val="24"/>
          <w:szCs w:val="24"/>
        </w:rPr>
        <w:t>les  hommes</w:t>
      </w:r>
      <w:proofErr w:type="gramEnd"/>
      <w:r>
        <w:rPr>
          <w:sz w:val="24"/>
          <w:szCs w:val="24"/>
        </w:rPr>
        <w:t xml:space="preserve"> Afro-Americains.Le CP chez les hommes avec  PSA ≥4ng/ml à été rapporté aux États unis par Thompson</w:t>
      </w:r>
      <w:r>
        <w:rPr>
          <w:sz w:val="24"/>
          <w:szCs w:val="24"/>
          <w:vertAlign w:val="superscript"/>
        </w:rPr>
        <w:t>30</w:t>
      </w:r>
      <w:r>
        <w:rPr>
          <w:sz w:val="24"/>
          <w:szCs w:val="24"/>
        </w:rPr>
        <w:t xml:space="preserve"> comme 15%.  Develongchamps</w:t>
      </w:r>
      <w:r>
        <w:rPr>
          <w:sz w:val="24"/>
          <w:szCs w:val="24"/>
          <w:vertAlign w:val="superscript"/>
        </w:rPr>
        <w:t>31</w:t>
      </w:r>
      <w:r>
        <w:rPr>
          <w:sz w:val="24"/>
          <w:szCs w:val="24"/>
        </w:rPr>
        <w:t xml:space="preserve"> a aussi rapporté qu’il y a peu d ’ incidence de PC chez les hommes  &gt;50 ans au Sénégal, au Mali,au  Guinée, en Gambie mais plus haut chez les Ivoiriens  et au Zimbabwe, mais la plupart des pays Africains ont des incidences au dessous 40:100,000 alors qu’en Afrique de sud la prévalence est 40:100,000.  </w:t>
      </w:r>
      <w:proofErr w:type="gramStart"/>
      <w:r>
        <w:rPr>
          <w:sz w:val="24"/>
          <w:szCs w:val="24"/>
        </w:rPr>
        <w:t xml:space="preserve">Les figures faible </w:t>
      </w:r>
      <w:r>
        <w:rPr>
          <w:sz w:val="24"/>
          <w:szCs w:val="24"/>
        </w:rPr>
        <w:lastRenderedPageBreak/>
        <w:t>sont par la raison de PSA et dépistage et manque des regitres pertinent de cancer et la prévalence des études d’ autopsie.</w:t>
      </w:r>
      <w:proofErr w:type="gramEnd"/>
      <w:r>
        <w:rPr>
          <w:sz w:val="24"/>
          <w:szCs w:val="24"/>
        </w:rPr>
        <w:t xml:space="preserve"> L ’ histologique d’autopsie des études prévalence CP  par Delongchamps</w:t>
      </w:r>
      <w:r>
        <w:rPr>
          <w:sz w:val="24"/>
          <w:szCs w:val="24"/>
          <w:vertAlign w:val="superscript"/>
        </w:rPr>
        <w:t>31</w:t>
      </w:r>
      <w:r>
        <w:rPr>
          <w:sz w:val="24"/>
          <w:szCs w:val="24"/>
        </w:rPr>
        <w:t xml:space="preserve"> a montré une haute prévalence chez les Afro - Americains que les Caucasiens Americains et d’autres par la raison sociale et culturelles, diététique, hormonale et des facteurs génétiques .</w:t>
      </w:r>
    </w:p>
    <w:p w:rsidR="00177A8D" w:rsidRDefault="00177A8D" w:rsidP="00177A8D">
      <w:pPr>
        <w:spacing w:line="480" w:lineRule="auto"/>
        <w:rPr>
          <w:sz w:val="24"/>
          <w:szCs w:val="24"/>
        </w:rPr>
      </w:pPr>
      <w:r>
        <w:rPr>
          <w:sz w:val="24"/>
          <w:szCs w:val="24"/>
        </w:rPr>
        <w:t xml:space="preserve">Mais la vraie prévalence en Afrique peut se trouver à partir de despitage ce qui </w:t>
      </w:r>
      <w:proofErr w:type="gramStart"/>
      <w:r>
        <w:rPr>
          <w:sz w:val="24"/>
          <w:szCs w:val="24"/>
        </w:rPr>
        <w:t>est  controversé</w:t>
      </w:r>
      <w:proofErr w:type="gramEnd"/>
      <w:r>
        <w:rPr>
          <w:sz w:val="24"/>
          <w:szCs w:val="24"/>
        </w:rPr>
        <w:t xml:space="preserve">  au test PSA chez les vivants ou population basé sur les études d’ autopsie histologique .  Comme énuméré au paravant , la prévalence des  études de population chez  les migrants Africains et descendante globale montre une haute prévalence relative  chez les Afro- Americains (AA), et les descendants des Africains; Au Jamaïque 227:100,000, Martinique 227:100,000, Trinité &amp; Tobago et Barbade 123: 100,000</w:t>
      </w:r>
      <w:r>
        <w:rPr>
          <w:sz w:val="24"/>
          <w:szCs w:val="24"/>
          <w:vertAlign w:val="superscript"/>
        </w:rPr>
        <w:t xml:space="preserve"> 28</w:t>
      </w:r>
      <w:r>
        <w:rPr>
          <w:sz w:val="24"/>
          <w:szCs w:val="24"/>
        </w:rPr>
        <w:t xml:space="preserve">  </w:t>
      </w:r>
    </w:p>
    <w:p w:rsidR="00177A8D" w:rsidRDefault="00177A8D" w:rsidP="00177A8D">
      <w:pPr>
        <w:spacing w:line="480" w:lineRule="auto"/>
        <w:rPr>
          <w:sz w:val="24"/>
          <w:szCs w:val="24"/>
          <w:u w:val="single"/>
        </w:rPr>
      </w:pPr>
      <w:r>
        <w:rPr>
          <w:sz w:val="24"/>
          <w:szCs w:val="24"/>
        </w:rPr>
        <w:t>Jackson</w:t>
      </w:r>
      <w:r>
        <w:rPr>
          <w:sz w:val="24"/>
          <w:szCs w:val="24"/>
          <w:vertAlign w:val="superscript"/>
        </w:rPr>
        <w:t>32</w:t>
      </w:r>
      <w:r>
        <w:rPr>
          <w:sz w:val="24"/>
          <w:szCs w:val="24"/>
        </w:rPr>
        <w:t xml:space="preserve"> a rapporté que le taux de prévalence d’ autopsie chez AA à Washington DC 40.6 per 100,000 est similaire à 36.7:100,000 chez les Nigerians et Ghaneens ensemble même si l’incidence chez les vivants étaient élevé chez les hommes AA.</w:t>
      </w:r>
      <w:r>
        <w:rPr>
          <w:sz w:val="24"/>
          <w:szCs w:val="24"/>
          <w:vertAlign w:val="superscript"/>
        </w:rPr>
        <w:t>32</w:t>
      </w:r>
      <w:proofErr w:type="gramStart"/>
      <w:r>
        <w:rPr>
          <w:sz w:val="24"/>
          <w:szCs w:val="24"/>
          <w:vertAlign w:val="superscript"/>
        </w:rPr>
        <w:t xml:space="preserve">,  </w:t>
      </w:r>
      <w:r>
        <w:rPr>
          <w:sz w:val="24"/>
          <w:szCs w:val="24"/>
        </w:rPr>
        <w:t>Heyns</w:t>
      </w:r>
      <w:r>
        <w:rPr>
          <w:sz w:val="24"/>
          <w:szCs w:val="24"/>
          <w:vertAlign w:val="superscript"/>
        </w:rPr>
        <w:t>33</w:t>
      </w:r>
      <w:proofErr w:type="gramEnd"/>
      <w:r>
        <w:rPr>
          <w:sz w:val="24"/>
          <w:szCs w:val="24"/>
        </w:rPr>
        <w:t xml:space="preserve"> a rapporté que les sud africains noirs présenter avec la maladie avancé et aggressive de CP et la haute PSA comparé aux blancs mais il n y a pas de rapport concernant la prévalence.   Osegbe</w:t>
      </w:r>
      <w:r>
        <w:rPr>
          <w:sz w:val="24"/>
          <w:szCs w:val="24"/>
          <w:vertAlign w:val="superscript"/>
        </w:rPr>
        <w:t>34</w:t>
      </w:r>
      <w:r>
        <w:rPr>
          <w:sz w:val="24"/>
          <w:szCs w:val="24"/>
        </w:rPr>
        <w:t xml:space="preserve"> a fait </w:t>
      </w:r>
      <w:proofErr w:type="gramStart"/>
      <w:r>
        <w:rPr>
          <w:sz w:val="24"/>
          <w:szCs w:val="24"/>
        </w:rPr>
        <w:t>un</w:t>
      </w:r>
      <w:proofErr w:type="gramEnd"/>
      <w:r>
        <w:rPr>
          <w:sz w:val="24"/>
          <w:szCs w:val="24"/>
        </w:rPr>
        <w:t xml:space="preserve"> rapport de Lagos que l’histologique l’hôpital vérifié était 127:100,000 mais il n y a aucune citation des études basé sur la population.  Haas</w:t>
      </w:r>
      <w:r>
        <w:rPr>
          <w:sz w:val="24"/>
          <w:szCs w:val="24"/>
          <w:vertAlign w:val="superscript"/>
        </w:rPr>
        <w:t xml:space="preserve">35 </w:t>
      </w:r>
      <w:r>
        <w:rPr>
          <w:sz w:val="24"/>
          <w:szCs w:val="24"/>
        </w:rPr>
        <w:t xml:space="preserve">a rapporté d'après la prévalence des études </w:t>
      </w:r>
      <w:proofErr w:type="gramStart"/>
      <w:r>
        <w:rPr>
          <w:sz w:val="24"/>
          <w:szCs w:val="24"/>
        </w:rPr>
        <w:t>d ’</w:t>
      </w:r>
      <w:proofErr w:type="gramEnd"/>
      <w:r>
        <w:rPr>
          <w:sz w:val="24"/>
          <w:szCs w:val="24"/>
        </w:rPr>
        <w:t xml:space="preserve"> autopsie qu’aux etats unis la haute prévalence de PC s’abaisse après une augmentation par la raison d'épreuve de PSA et 90% des cas CP ont été diagnostiqué dans l’état précoce de T</w:t>
      </w:r>
      <w:r>
        <w:rPr>
          <w:sz w:val="24"/>
          <w:szCs w:val="24"/>
          <w:vertAlign w:val="subscript"/>
        </w:rPr>
        <w:t>1</w:t>
      </w:r>
      <w:r>
        <w:rPr>
          <w:sz w:val="24"/>
          <w:szCs w:val="24"/>
        </w:rPr>
        <w:t>T</w:t>
      </w:r>
      <w:r>
        <w:rPr>
          <w:sz w:val="24"/>
          <w:szCs w:val="24"/>
          <w:vertAlign w:val="subscript"/>
        </w:rPr>
        <w:t>2</w:t>
      </w:r>
      <w:r>
        <w:rPr>
          <w:sz w:val="24"/>
          <w:szCs w:val="24"/>
        </w:rPr>
        <w:t xml:space="preserve"> ce qui </w:t>
      </w:r>
      <w:r>
        <w:rPr>
          <w:sz w:val="24"/>
          <w:szCs w:val="24"/>
        </w:rPr>
        <w:lastRenderedPageBreak/>
        <w:t xml:space="preserve">rend le taux de survivant plus haut aux états unis, par la raison de découverte précoce de despitage de  PSA </w:t>
      </w:r>
    </w:p>
    <w:p w:rsidR="00177A8D" w:rsidRDefault="00177A8D" w:rsidP="00177A8D">
      <w:pPr>
        <w:spacing w:line="480" w:lineRule="auto"/>
        <w:rPr>
          <w:sz w:val="24"/>
          <w:szCs w:val="24"/>
          <w:u w:val="single"/>
        </w:rPr>
      </w:pPr>
    </w:p>
    <w:p w:rsidR="00177A8D" w:rsidRDefault="00177A8D" w:rsidP="00177A8D">
      <w:pPr>
        <w:spacing w:line="480" w:lineRule="auto"/>
        <w:rPr>
          <w:b/>
          <w:sz w:val="24"/>
          <w:szCs w:val="24"/>
        </w:rPr>
      </w:pPr>
      <w:r>
        <w:rPr>
          <w:b/>
          <w:sz w:val="24"/>
          <w:szCs w:val="24"/>
        </w:rPr>
        <w:t>DISCUSSION</w:t>
      </w:r>
    </w:p>
    <w:p w:rsidR="00177A8D" w:rsidRDefault="00177A8D" w:rsidP="00177A8D">
      <w:pPr>
        <w:spacing w:after="0" w:line="480" w:lineRule="auto"/>
        <w:rPr>
          <w:sz w:val="24"/>
          <w:szCs w:val="24"/>
          <w:u w:val="single"/>
        </w:rPr>
      </w:pPr>
      <w:r>
        <w:rPr>
          <w:sz w:val="24"/>
          <w:szCs w:val="24"/>
          <w:u w:val="single"/>
        </w:rPr>
        <w:t xml:space="preserve">Bénigne prostatique hyperplasie (BPH/BPE) Tableau 4 </w:t>
      </w:r>
    </w:p>
    <w:p w:rsidR="00177A8D" w:rsidRDefault="00177A8D" w:rsidP="00177A8D">
      <w:pPr>
        <w:spacing w:after="0" w:line="480" w:lineRule="auto"/>
        <w:rPr>
          <w:sz w:val="24"/>
          <w:szCs w:val="24"/>
        </w:rPr>
      </w:pPr>
      <w:proofErr w:type="gramStart"/>
      <w:r>
        <w:rPr>
          <w:sz w:val="24"/>
          <w:szCs w:val="24"/>
        </w:rPr>
        <w:t>......Selon DRE la prévalence de BPH au Ghana était62%</w:t>
      </w:r>
      <w:r>
        <w:rPr>
          <w:sz w:val="24"/>
          <w:szCs w:val="24"/>
          <w:vertAlign w:val="superscript"/>
        </w:rPr>
        <w:t>18</w:t>
      </w:r>
      <w:r>
        <w:rPr>
          <w:sz w:val="24"/>
          <w:szCs w:val="24"/>
        </w:rPr>
        <w:t>.</w:t>
      </w:r>
      <w:proofErr w:type="gramEnd"/>
      <w:r>
        <w:rPr>
          <w:sz w:val="24"/>
          <w:szCs w:val="24"/>
        </w:rPr>
        <w:t xml:space="preserve">  Aux États Unis ça varie à parti </w:t>
      </w:r>
      <w:proofErr w:type="gramStart"/>
      <w:r>
        <w:rPr>
          <w:sz w:val="24"/>
          <w:szCs w:val="24"/>
        </w:rPr>
        <w:t>de  36</w:t>
      </w:r>
      <w:proofErr w:type="gramEnd"/>
      <w:r>
        <w:rPr>
          <w:sz w:val="24"/>
          <w:szCs w:val="24"/>
        </w:rPr>
        <w:t>%.  Selon Guess</w:t>
      </w:r>
      <w:r>
        <w:rPr>
          <w:sz w:val="24"/>
          <w:szCs w:val="24"/>
          <w:vertAlign w:val="superscript"/>
        </w:rPr>
        <w:t>36</w:t>
      </w:r>
      <w:r>
        <w:rPr>
          <w:sz w:val="24"/>
          <w:szCs w:val="24"/>
        </w:rPr>
        <w:t xml:space="preserve"> </w:t>
      </w:r>
      <w:proofErr w:type="gramStart"/>
      <w:r>
        <w:rPr>
          <w:sz w:val="24"/>
          <w:szCs w:val="24"/>
        </w:rPr>
        <w:t>et  Nashlund</w:t>
      </w:r>
      <w:r>
        <w:rPr>
          <w:sz w:val="24"/>
          <w:szCs w:val="24"/>
          <w:vertAlign w:val="superscript"/>
        </w:rPr>
        <w:t>37</w:t>
      </w:r>
      <w:proofErr w:type="gramEnd"/>
      <w:r>
        <w:rPr>
          <w:sz w:val="24"/>
          <w:szCs w:val="24"/>
          <w:vertAlign w:val="superscript"/>
        </w:rPr>
        <w:t xml:space="preserve"> </w:t>
      </w:r>
      <w:r>
        <w:rPr>
          <w:sz w:val="24"/>
          <w:szCs w:val="24"/>
        </w:rPr>
        <w:t>42% pour toutes  les races.   La prévalence de symptômes BPH en utilisant IPSS ≥8 est modéré au sévère LUTS au Ghana</w:t>
      </w:r>
      <w:r>
        <w:rPr>
          <w:sz w:val="24"/>
          <w:szCs w:val="24"/>
          <w:vertAlign w:val="superscript"/>
        </w:rPr>
        <w:t>18</w:t>
      </w:r>
      <w:r>
        <w:rPr>
          <w:sz w:val="24"/>
          <w:szCs w:val="24"/>
        </w:rPr>
        <w:t xml:space="preserve"> était 20%, mais d’autres qui utilise la même critère rapporté des valeurs varié ; Au royaume uni selon </w:t>
      </w:r>
      <w:r>
        <w:rPr>
          <w:sz w:val="24"/>
          <w:szCs w:val="24"/>
          <w:vertAlign w:val="superscript"/>
        </w:rPr>
        <w:t xml:space="preserve"> </w:t>
      </w:r>
      <w:r>
        <w:rPr>
          <w:sz w:val="24"/>
          <w:szCs w:val="24"/>
        </w:rPr>
        <w:t>Truemann 37%</w:t>
      </w:r>
      <w:r>
        <w:rPr>
          <w:sz w:val="24"/>
          <w:szCs w:val="24"/>
          <w:vertAlign w:val="superscript"/>
        </w:rPr>
        <w:t>38</w:t>
      </w:r>
      <w:r>
        <w:rPr>
          <w:sz w:val="24"/>
          <w:szCs w:val="24"/>
        </w:rPr>
        <w:t>, en  Europe selon Rosen</w:t>
      </w:r>
      <w:r>
        <w:rPr>
          <w:sz w:val="24"/>
          <w:szCs w:val="24"/>
          <w:vertAlign w:val="superscript"/>
        </w:rPr>
        <w:t>39</w:t>
      </w:r>
      <w:r>
        <w:rPr>
          <w:sz w:val="24"/>
          <w:szCs w:val="24"/>
        </w:rPr>
        <w:t xml:space="preserve"> multinational 29% et le rapport de  Sarma’s</w:t>
      </w:r>
      <w:r>
        <w:rPr>
          <w:sz w:val="24"/>
          <w:szCs w:val="24"/>
          <w:vertAlign w:val="superscript"/>
        </w:rPr>
        <w:t>40</w:t>
      </w:r>
      <w:r>
        <w:rPr>
          <w:sz w:val="24"/>
          <w:szCs w:val="24"/>
        </w:rPr>
        <w:t xml:space="preserve"> en  Michigan Blacks était 45% Figs 1, 2  Tableaux 2, 3, 4. </w:t>
      </w:r>
      <w:r>
        <w:rPr>
          <w:sz w:val="24"/>
          <w:szCs w:val="24"/>
          <w:vertAlign w:val="superscript"/>
        </w:rPr>
        <w:t>15, 16, 17, 18, 19, 20, 36 – 40</w:t>
      </w:r>
      <w:r>
        <w:rPr>
          <w:sz w:val="24"/>
          <w:szCs w:val="24"/>
        </w:rPr>
        <w:t xml:space="preserve"> </w:t>
      </w:r>
    </w:p>
    <w:p w:rsidR="00177A8D" w:rsidRDefault="00177A8D" w:rsidP="00177A8D">
      <w:pPr>
        <w:spacing w:after="0" w:line="480" w:lineRule="auto"/>
        <w:rPr>
          <w:sz w:val="24"/>
          <w:szCs w:val="24"/>
        </w:rPr>
      </w:pPr>
      <w:r>
        <w:rPr>
          <w:sz w:val="24"/>
          <w:szCs w:val="24"/>
        </w:rPr>
        <w:t>En Afrique de Sud (les noirs) 1: 3 &gt;45 ans ont des modéré au sévère  LUTS par la raison de BPH et 50% des hommes à 60 ans , ont la symptomatique BPH et il y a aussi des augmentations annuelle chez les noirs en atteinte de symptomatique BPH.</w:t>
      </w:r>
      <w:r>
        <w:rPr>
          <w:sz w:val="24"/>
          <w:szCs w:val="24"/>
          <w:vertAlign w:val="superscript"/>
        </w:rPr>
        <w:t>11</w:t>
      </w:r>
    </w:p>
    <w:p w:rsidR="00177A8D" w:rsidRDefault="00177A8D" w:rsidP="00177A8D">
      <w:pPr>
        <w:spacing w:after="0" w:line="480" w:lineRule="auto"/>
        <w:rPr>
          <w:sz w:val="24"/>
          <w:szCs w:val="24"/>
        </w:rPr>
      </w:pPr>
      <w:r>
        <w:rPr>
          <w:sz w:val="24"/>
          <w:szCs w:val="24"/>
        </w:rPr>
        <w:t>Utilisant le PSA ≥1.5ng/ml ≥30mls volume de  prostate de la prévalence au Ghana</w:t>
      </w:r>
      <w:r>
        <w:rPr>
          <w:sz w:val="24"/>
          <w:szCs w:val="24"/>
          <w:vertAlign w:val="superscript"/>
        </w:rPr>
        <w:t>18</w:t>
      </w:r>
      <w:r>
        <w:rPr>
          <w:sz w:val="24"/>
          <w:szCs w:val="24"/>
        </w:rPr>
        <w:t xml:space="preserve"> était 36% alors que pour Nashlund</w:t>
      </w:r>
      <w:r>
        <w:rPr>
          <w:sz w:val="24"/>
          <w:szCs w:val="24"/>
          <w:vertAlign w:val="superscript"/>
        </w:rPr>
        <w:t xml:space="preserve">37 </w:t>
      </w:r>
      <w:r>
        <w:rPr>
          <w:sz w:val="24"/>
          <w:szCs w:val="24"/>
        </w:rPr>
        <w:t>États Unis la prévalence était 36% dans toutes les  races, utilisant la volume de prostate imputé de PSA ≤1.5ng/ml, selon le rapport de prostate de TRUS  Vol 30 ml et IPSS ≥8 rapporté la prévalence Ghaneens était  30%. Tableax 2, 3, 4, Figs 2</w:t>
      </w:r>
      <w:proofErr w:type="gramStart"/>
      <w:r>
        <w:rPr>
          <w:sz w:val="24"/>
          <w:szCs w:val="24"/>
        </w:rPr>
        <w:t>,3</w:t>
      </w:r>
      <w:proofErr w:type="gramEnd"/>
      <w:r>
        <w:rPr>
          <w:sz w:val="24"/>
          <w:szCs w:val="24"/>
        </w:rPr>
        <w:t xml:space="preserve">, 4, </w:t>
      </w:r>
      <w:r>
        <w:rPr>
          <w:sz w:val="24"/>
          <w:szCs w:val="24"/>
          <w:vertAlign w:val="superscript"/>
        </w:rPr>
        <w:t>15, 16, 17, 18, 19, 20, 36 – 40</w:t>
      </w:r>
      <w:r>
        <w:rPr>
          <w:sz w:val="24"/>
          <w:szCs w:val="24"/>
        </w:rPr>
        <w:t xml:space="preserve"> </w:t>
      </w:r>
    </w:p>
    <w:p w:rsidR="00177A8D" w:rsidRDefault="00177A8D" w:rsidP="00177A8D">
      <w:pPr>
        <w:spacing w:after="0" w:line="480" w:lineRule="auto"/>
        <w:rPr>
          <w:sz w:val="24"/>
          <w:szCs w:val="24"/>
        </w:rPr>
      </w:pPr>
      <w:r>
        <w:rPr>
          <w:sz w:val="24"/>
          <w:szCs w:val="24"/>
        </w:rPr>
        <w:t xml:space="preserve">Aux etats unis l’ incidence de rétention </w:t>
      </w:r>
      <w:proofErr w:type="gramStart"/>
      <w:r>
        <w:rPr>
          <w:sz w:val="24"/>
          <w:szCs w:val="24"/>
        </w:rPr>
        <w:t>aiguë  (</w:t>
      </w:r>
      <w:proofErr w:type="gramEnd"/>
      <w:r>
        <w:rPr>
          <w:sz w:val="24"/>
          <w:szCs w:val="24"/>
        </w:rPr>
        <w:t xml:space="preserve">ARU) était 34.7/1000 hommes &gt;70 ans et aussi  27 Million Caucasiens âgé 50 – 79 ans ont de symptomatique BPH qui a besoin de traitement en </w:t>
      </w:r>
      <w:r>
        <w:rPr>
          <w:sz w:val="24"/>
          <w:szCs w:val="24"/>
        </w:rPr>
        <w:lastRenderedPageBreak/>
        <w:t xml:space="preserve">2000.D’autres statistiques aux états unis indiquent  8 million visites pour l’évaluation primaire et diagnostic de BPH et  87,410 TURPS ont été fait chaque année pour BPH </w:t>
      </w:r>
      <w:r>
        <w:rPr>
          <w:sz w:val="24"/>
          <w:szCs w:val="24"/>
          <w:vertAlign w:val="superscript"/>
        </w:rPr>
        <w:t>41, 42</w:t>
      </w:r>
      <w:r>
        <w:rPr>
          <w:sz w:val="24"/>
          <w:szCs w:val="24"/>
        </w:rPr>
        <w:t xml:space="preserve"> </w:t>
      </w:r>
    </w:p>
    <w:p w:rsidR="00177A8D" w:rsidRDefault="00177A8D" w:rsidP="00177A8D">
      <w:pPr>
        <w:spacing w:after="0" w:line="480" w:lineRule="auto"/>
        <w:rPr>
          <w:sz w:val="24"/>
          <w:szCs w:val="24"/>
          <w:u w:val="single"/>
        </w:rPr>
      </w:pPr>
      <w:r>
        <w:rPr>
          <w:sz w:val="24"/>
          <w:szCs w:val="24"/>
          <w:u w:val="single"/>
        </w:rPr>
        <w:t>ECONOMIQUE – COUT DE GESTION BPH</w:t>
      </w:r>
    </w:p>
    <w:p w:rsidR="00177A8D" w:rsidRDefault="00177A8D" w:rsidP="00177A8D">
      <w:pPr>
        <w:spacing w:line="480" w:lineRule="auto"/>
        <w:rPr>
          <w:sz w:val="24"/>
          <w:szCs w:val="24"/>
        </w:rPr>
      </w:pPr>
      <w:r>
        <w:rPr>
          <w:sz w:val="24"/>
          <w:szCs w:val="24"/>
        </w:rPr>
        <w:t xml:space="preserve">Aux etats </w:t>
      </w:r>
      <w:proofErr w:type="gramStart"/>
      <w:r>
        <w:rPr>
          <w:sz w:val="24"/>
          <w:szCs w:val="24"/>
        </w:rPr>
        <w:t>unis ,</w:t>
      </w:r>
      <w:proofErr w:type="gramEnd"/>
      <w:r>
        <w:rPr>
          <w:sz w:val="24"/>
          <w:szCs w:val="24"/>
        </w:rPr>
        <w:t xml:space="preserve"> le coût  direct national de la gestion de médication BPH, les procédures hospital ,l’imagerie et visite clinique est environ  U$4 Billion annuellement.Ceci exclus les coûts indirect de perte et de gagne par la raison de l'absentéisme, douleur insupportable selon  Taub et Wei</w:t>
      </w:r>
      <w:r>
        <w:rPr>
          <w:sz w:val="24"/>
          <w:szCs w:val="24"/>
          <w:vertAlign w:val="superscript"/>
        </w:rPr>
        <w:t>41</w:t>
      </w:r>
      <w:r>
        <w:rPr>
          <w:sz w:val="24"/>
          <w:szCs w:val="24"/>
        </w:rPr>
        <w:t xml:space="preserve">.  Saigal &amp; Joyce42 Par l’examen de réclame médical </w:t>
      </w:r>
      <w:proofErr w:type="gramStart"/>
      <w:r>
        <w:rPr>
          <w:sz w:val="24"/>
          <w:szCs w:val="24"/>
        </w:rPr>
        <w:t>calculé ,</w:t>
      </w:r>
      <w:proofErr w:type="gramEnd"/>
      <w:r>
        <w:rPr>
          <w:sz w:val="24"/>
          <w:szCs w:val="24"/>
        </w:rPr>
        <w:t xml:space="preserve"> l’augmentation de coût associé au diagnostic de  BPH était  U$1536 annuellement sans compter les procédures chirurgical .</w:t>
      </w:r>
    </w:p>
    <w:p w:rsidR="00177A8D" w:rsidRDefault="00177A8D" w:rsidP="00177A8D">
      <w:pPr>
        <w:spacing w:line="480" w:lineRule="auto"/>
        <w:rPr>
          <w:rFonts w:ascii="Times New Roman" w:hAnsi="Times New Roman" w:cs="Times New Roman"/>
          <w:sz w:val="24"/>
          <w:szCs w:val="24"/>
        </w:rPr>
      </w:pPr>
      <w:r>
        <w:rPr>
          <w:sz w:val="24"/>
          <w:szCs w:val="24"/>
        </w:rPr>
        <w:t>Présentement au Ghana, le chef de la section d’urologie à l’hopital de l’enseignement Korle Bu dit que le coût India pour les médications BPH varient de Gh</w:t>
      </w:r>
      <w:r>
        <w:rPr>
          <w:rFonts w:ascii="Times New Roman" w:hAnsi="Times New Roman" w:cs="Times New Roman"/>
          <w:sz w:val="24"/>
          <w:szCs w:val="24"/>
        </w:rPr>
        <w:t>¢1200 – 2200 (US300 – 500) par ans et le coût de la prosectonomie TURP Gh¢4500 (US1100).</w:t>
      </w:r>
    </w:p>
    <w:p w:rsidR="00177A8D" w:rsidRDefault="00177A8D" w:rsidP="00177A8D">
      <w:pPr>
        <w:spacing w:line="480" w:lineRule="auto"/>
        <w:rPr>
          <w:sz w:val="24"/>
          <w:szCs w:val="24"/>
        </w:rPr>
      </w:pPr>
      <w:r>
        <w:rPr>
          <w:sz w:val="24"/>
          <w:szCs w:val="24"/>
        </w:rPr>
        <w:t xml:space="preserve">Le traitement pour les complications ainsi que UTI, rétention </w:t>
      </w:r>
      <w:proofErr w:type="gramStart"/>
      <w:r>
        <w:rPr>
          <w:sz w:val="24"/>
          <w:szCs w:val="24"/>
        </w:rPr>
        <w:t>aiguë  d’urine</w:t>
      </w:r>
      <w:proofErr w:type="gramEnd"/>
      <w:r>
        <w:rPr>
          <w:sz w:val="24"/>
          <w:szCs w:val="24"/>
        </w:rPr>
        <w:t xml:space="preserve"> (ARU),dysfonction  érectile / impuissance, obstructive l’uropathie et les médications abordables ont leurs fonctions et ils peuvent créer des douleurs et absentéisme du boulot . La morte qui peut se produire par des complications ainsi que uremie, septicémie et hémorragie et ils ont des </w:t>
      </w:r>
      <w:proofErr w:type="gramStart"/>
      <w:r>
        <w:rPr>
          <w:sz w:val="24"/>
          <w:szCs w:val="24"/>
        </w:rPr>
        <w:t>impact  économiques</w:t>
      </w:r>
      <w:proofErr w:type="gramEnd"/>
      <w:r>
        <w:rPr>
          <w:sz w:val="24"/>
          <w:szCs w:val="24"/>
        </w:rPr>
        <w:t xml:space="preserve">.  </w:t>
      </w:r>
    </w:p>
    <w:p w:rsidR="00177A8D" w:rsidRDefault="00177A8D" w:rsidP="00177A8D">
      <w:pPr>
        <w:spacing w:line="480" w:lineRule="auto"/>
        <w:rPr>
          <w:sz w:val="24"/>
          <w:szCs w:val="24"/>
        </w:rPr>
      </w:pPr>
      <w:r>
        <w:rPr>
          <w:sz w:val="24"/>
          <w:szCs w:val="24"/>
        </w:rPr>
        <w:t xml:space="preserve">Pour le coût direct medical ce qui comprend </w:t>
      </w:r>
      <w:proofErr w:type="gramStart"/>
      <w:r>
        <w:rPr>
          <w:sz w:val="24"/>
          <w:szCs w:val="24"/>
        </w:rPr>
        <w:t>l’investigatoire ,les</w:t>
      </w:r>
      <w:proofErr w:type="gramEnd"/>
      <w:r>
        <w:rPr>
          <w:sz w:val="24"/>
          <w:szCs w:val="24"/>
        </w:rPr>
        <w:t xml:space="preserve">  médications et le traitement chirurgical sont énormes/immense aux états 1.1 Billions de U$ associé au travail d'absentéisme par la raison de BPH/BPE.  Il limite aussi la qualité de vie et mène à la retraite prématuré de la </w:t>
      </w:r>
      <w:proofErr w:type="gramStart"/>
      <w:r>
        <w:rPr>
          <w:sz w:val="24"/>
          <w:szCs w:val="24"/>
        </w:rPr>
        <w:t>morbidité  chez</w:t>
      </w:r>
      <w:proofErr w:type="gramEnd"/>
      <w:r>
        <w:rPr>
          <w:sz w:val="24"/>
          <w:szCs w:val="24"/>
        </w:rPr>
        <w:t xml:space="preserve">  les hommes âgé de&lt;60 ans .   D’autres sont le UTI qui cause des douleur et qui </w:t>
      </w:r>
      <w:r>
        <w:rPr>
          <w:sz w:val="24"/>
          <w:szCs w:val="24"/>
        </w:rPr>
        <w:lastRenderedPageBreak/>
        <w:t xml:space="preserve">produit </w:t>
      </w:r>
      <w:proofErr w:type="gramStart"/>
      <w:r>
        <w:rPr>
          <w:sz w:val="24"/>
          <w:szCs w:val="24"/>
        </w:rPr>
        <w:t>la  résultat</w:t>
      </w:r>
      <w:proofErr w:type="gramEnd"/>
      <w:r>
        <w:rPr>
          <w:sz w:val="24"/>
          <w:szCs w:val="24"/>
        </w:rPr>
        <w:t xml:space="preserve"> mauvaise de vie de pauvre qualité.  </w:t>
      </w:r>
      <w:proofErr w:type="gramStart"/>
      <w:r>
        <w:rPr>
          <w:sz w:val="24"/>
          <w:szCs w:val="24"/>
        </w:rPr>
        <w:t>Il</w:t>
      </w:r>
      <w:proofErr w:type="gramEnd"/>
      <w:r>
        <w:rPr>
          <w:sz w:val="24"/>
          <w:szCs w:val="24"/>
        </w:rPr>
        <w:t xml:space="preserve"> y a neamoins aucune figures comparable à ceux des pays.</w:t>
      </w:r>
      <w:r>
        <w:rPr>
          <w:sz w:val="24"/>
          <w:szCs w:val="24"/>
          <w:vertAlign w:val="superscript"/>
        </w:rPr>
        <w:t>41, 42</w:t>
      </w:r>
    </w:p>
    <w:p w:rsidR="00177A8D" w:rsidRDefault="00177A8D" w:rsidP="00177A8D">
      <w:pPr>
        <w:spacing w:after="0" w:line="480" w:lineRule="auto"/>
        <w:rPr>
          <w:sz w:val="24"/>
          <w:szCs w:val="24"/>
          <w:u w:val="single"/>
        </w:rPr>
      </w:pPr>
      <w:r>
        <w:rPr>
          <w:sz w:val="24"/>
          <w:szCs w:val="24"/>
          <w:u w:val="single"/>
        </w:rPr>
        <w:t>CARCINOME DE PROSTATE</w:t>
      </w:r>
    </w:p>
    <w:p w:rsidR="00177A8D" w:rsidRDefault="00177A8D" w:rsidP="00177A8D">
      <w:pPr>
        <w:spacing w:after="0" w:line="480" w:lineRule="auto"/>
        <w:rPr>
          <w:sz w:val="24"/>
          <w:szCs w:val="24"/>
          <w:vertAlign w:val="superscript"/>
        </w:rPr>
      </w:pPr>
      <w:r>
        <w:rPr>
          <w:sz w:val="24"/>
          <w:szCs w:val="24"/>
        </w:rPr>
        <w:t xml:space="preserve">Le CP </w:t>
      </w:r>
      <w:proofErr w:type="gramStart"/>
      <w:r>
        <w:rPr>
          <w:sz w:val="24"/>
          <w:szCs w:val="24"/>
        </w:rPr>
        <w:t>entiers  causes</w:t>
      </w:r>
      <w:proofErr w:type="gramEnd"/>
      <w:r>
        <w:rPr>
          <w:sz w:val="24"/>
          <w:szCs w:val="24"/>
        </w:rPr>
        <w:t xml:space="preserve"> 18% du désordre du prostate gland.  L ’ incidence globale chez les hommes plus de 50 ans  est 11.7% c’est - à - dire les 15ème cancers les plus commune,19% de cancers aux pays développés et 5% en voie de développement </w:t>
      </w:r>
      <w:r>
        <w:rPr>
          <w:sz w:val="24"/>
          <w:szCs w:val="24"/>
          <w:vertAlign w:val="superscript"/>
        </w:rPr>
        <w:t>28</w:t>
      </w:r>
      <w:r>
        <w:rPr>
          <w:sz w:val="24"/>
          <w:szCs w:val="24"/>
        </w:rPr>
        <w:t xml:space="preserve">  La prévalence par population est le plus bas en Asie / Chine 1.9% ou 10/100,000 chez les Caucasien Americains 1.4 – 2.4% ou 104/100,000, Afro-Americains 2.2 – 5.1% ou 272/100,000,environ 5-10% chez les hommes Caraïbes et nous avons établi chez Ghaneens de 6.3% à 7% ce qui est très élevé .  </w:t>
      </w:r>
      <w:proofErr w:type="gramStart"/>
      <w:r>
        <w:rPr>
          <w:sz w:val="24"/>
          <w:szCs w:val="24"/>
        </w:rPr>
        <w:t>Fig 4, Fig 5</w:t>
      </w:r>
      <w:r>
        <w:rPr>
          <w:sz w:val="24"/>
          <w:szCs w:val="24"/>
          <w:vertAlign w:val="superscript"/>
        </w:rPr>
        <w:t>20, 28, 29, 33, 35, 43, 44, 45, 46, 47, 48</w:t>
      </w:r>
      <w:r>
        <w:rPr>
          <w:sz w:val="24"/>
          <w:szCs w:val="24"/>
        </w:rPr>
        <w:t>.</w:t>
      </w:r>
      <w:proofErr w:type="gramEnd"/>
      <w:r>
        <w:rPr>
          <w:sz w:val="24"/>
          <w:szCs w:val="24"/>
        </w:rPr>
        <w:t xml:space="preserve"> </w:t>
      </w:r>
      <w:r>
        <w:rPr>
          <w:sz w:val="24"/>
          <w:szCs w:val="24"/>
          <w:vertAlign w:val="superscript"/>
        </w:rPr>
        <w:t xml:space="preserve"> </w:t>
      </w:r>
      <w:r>
        <w:rPr>
          <w:bCs/>
          <w:sz w:val="24"/>
          <w:szCs w:val="24"/>
        </w:rPr>
        <w:t xml:space="preserve">  </w:t>
      </w:r>
      <w:proofErr w:type="gramStart"/>
      <w:r>
        <w:rPr>
          <w:bCs/>
          <w:sz w:val="24"/>
          <w:szCs w:val="24"/>
        </w:rPr>
        <w:t>Osegbe</w:t>
      </w:r>
      <w:r>
        <w:rPr>
          <w:bCs/>
          <w:sz w:val="24"/>
          <w:szCs w:val="24"/>
          <w:vertAlign w:val="superscript"/>
        </w:rPr>
        <w:t>34</w:t>
      </w:r>
      <w:r>
        <w:rPr>
          <w:bCs/>
          <w:sz w:val="24"/>
          <w:szCs w:val="24"/>
        </w:rPr>
        <w:t xml:space="preserve"> avait rapporté le plus élevé incidence à hôpital de PC à Lagos.</w:t>
      </w:r>
      <w:proofErr w:type="gramEnd"/>
      <w:r>
        <w:rPr>
          <w:bCs/>
          <w:sz w:val="24"/>
          <w:szCs w:val="24"/>
        </w:rPr>
        <w:t xml:space="preserve">  Heyns</w:t>
      </w:r>
      <w:r>
        <w:rPr>
          <w:bCs/>
          <w:sz w:val="24"/>
          <w:szCs w:val="24"/>
          <w:vertAlign w:val="superscript"/>
        </w:rPr>
        <w:t>33</w:t>
      </w:r>
      <w:r>
        <w:rPr>
          <w:bCs/>
          <w:sz w:val="24"/>
          <w:szCs w:val="24"/>
        </w:rPr>
        <w:t xml:space="preserve"> a fait son rapport de l’Afrique de Sud que les noirs ont d'étape de PC plus avancé significative avec un PSA élevé que les blancs et les gens de couleur dans la cape de </w:t>
      </w:r>
      <w:proofErr w:type="gramStart"/>
      <w:r>
        <w:rPr>
          <w:bCs/>
          <w:sz w:val="24"/>
          <w:szCs w:val="24"/>
        </w:rPr>
        <w:t>l’ouest .</w:t>
      </w:r>
      <w:proofErr w:type="gramEnd"/>
      <w:r>
        <w:rPr>
          <w:bCs/>
          <w:sz w:val="24"/>
          <w:szCs w:val="24"/>
        </w:rPr>
        <w:t xml:space="preserve"> </w:t>
      </w:r>
      <w:proofErr w:type="gramStart"/>
      <w:r>
        <w:rPr>
          <w:bCs/>
          <w:sz w:val="24"/>
          <w:szCs w:val="24"/>
          <w:vertAlign w:val="superscript"/>
        </w:rPr>
        <w:t xml:space="preserve">32 </w:t>
      </w:r>
      <w:r>
        <w:rPr>
          <w:bCs/>
          <w:sz w:val="24"/>
          <w:szCs w:val="24"/>
        </w:rPr>
        <w:t xml:space="preserve"> D'après</w:t>
      </w:r>
      <w:proofErr w:type="gramEnd"/>
      <w:r>
        <w:rPr>
          <w:bCs/>
          <w:sz w:val="24"/>
          <w:szCs w:val="24"/>
        </w:rPr>
        <w:t xml:space="preserve"> le rapport de Jaackson même que l’incidence clinique  est au niveau élevé chez les Afro- Americains à Washington que les noirs du Nigéria et du Ghana, l’autopsie prévalence est similaire. Dans la revue de la littérature , Angwafo</w:t>
      </w:r>
      <w:r>
        <w:rPr>
          <w:bCs/>
          <w:sz w:val="24"/>
          <w:szCs w:val="24"/>
          <w:vertAlign w:val="superscript"/>
        </w:rPr>
        <w:t>49</w:t>
      </w:r>
      <w:r>
        <w:rPr>
          <w:bCs/>
          <w:sz w:val="24"/>
          <w:szCs w:val="24"/>
        </w:rPr>
        <w:t xml:space="preserve"> a signalé l’incidence élevé chez les nord -américains, l’incidence intermediat en Europe mais l’incidence bas au sub Sahara d’ Afrique et  Asie peut être à cause de facteurs environnementaux .   Rebbeck</w:t>
      </w:r>
      <w:r>
        <w:rPr>
          <w:bCs/>
          <w:sz w:val="24"/>
          <w:szCs w:val="24"/>
          <w:vertAlign w:val="superscript"/>
        </w:rPr>
        <w:t>50</w:t>
      </w:r>
      <w:r>
        <w:rPr>
          <w:bCs/>
          <w:sz w:val="24"/>
          <w:szCs w:val="24"/>
        </w:rPr>
        <w:t xml:space="preserve"> et Jalloh51 ont aussi rapporté des haute </w:t>
      </w:r>
      <w:proofErr w:type="gramStart"/>
      <w:r>
        <w:rPr>
          <w:bCs/>
          <w:sz w:val="24"/>
          <w:szCs w:val="24"/>
        </w:rPr>
        <w:t>agressivité  (</w:t>
      </w:r>
      <w:proofErr w:type="gramEnd"/>
      <w:r>
        <w:rPr>
          <w:bCs/>
          <w:sz w:val="24"/>
          <w:szCs w:val="24"/>
        </w:rPr>
        <w:t xml:space="preserve">high Gleason scores G&gt;7 et etapes clinicale avancé)parmi les hommes de descendants Africains. Tableau 5 </w:t>
      </w:r>
      <w:r>
        <w:rPr>
          <w:bCs/>
          <w:sz w:val="24"/>
          <w:szCs w:val="24"/>
          <w:vertAlign w:val="superscript"/>
        </w:rPr>
        <w:t xml:space="preserve">47, </w:t>
      </w:r>
      <w:proofErr w:type="gramStart"/>
      <w:r>
        <w:rPr>
          <w:bCs/>
          <w:sz w:val="24"/>
          <w:szCs w:val="24"/>
          <w:vertAlign w:val="superscript"/>
        </w:rPr>
        <w:t>50</w:t>
      </w:r>
      <w:r>
        <w:rPr>
          <w:bCs/>
          <w:sz w:val="24"/>
          <w:szCs w:val="24"/>
        </w:rPr>
        <w:t xml:space="preserve">  Ils</w:t>
      </w:r>
      <w:proofErr w:type="gramEnd"/>
      <w:r>
        <w:rPr>
          <w:bCs/>
          <w:sz w:val="24"/>
          <w:szCs w:val="24"/>
        </w:rPr>
        <w:t xml:space="preserve"> ont blame le rapport tardive et plus de plus avancé localement ou les cas métastatiques et plus de tumeurs  aggressive du Nigéria et Sénégal mais aucune despitage ou autopsie prévalence a été rapporté de ces deux pays par les auteurs .</w:t>
      </w:r>
    </w:p>
    <w:p w:rsidR="00177A8D" w:rsidRDefault="00177A8D" w:rsidP="00177A8D">
      <w:pPr>
        <w:spacing w:line="480" w:lineRule="auto"/>
        <w:rPr>
          <w:bCs/>
          <w:sz w:val="24"/>
          <w:szCs w:val="24"/>
        </w:rPr>
      </w:pPr>
      <w:r>
        <w:rPr>
          <w:bCs/>
          <w:sz w:val="24"/>
          <w:szCs w:val="24"/>
        </w:rPr>
        <w:lastRenderedPageBreak/>
        <w:t xml:space="preserve">Les données </w:t>
      </w:r>
      <w:proofErr w:type="gramStart"/>
      <w:r>
        <w:rPr>
          <w:bCs/>
          <w:sz w:val="24"/>
          <w:szCs w:val="24"/>
        </w:rPr>
        <w:t>de  l’examen</w:t>
      </w:r>
      <w:proofErr w:type="gramEnd"/>
      <w:r>
        <w:rPr>
          <w:bCs/>
          <w:sz w:val="24"/>
          <w:szCs w:val="24"/>
        </w:rPr>
        <w:t xml:space="preserve"> des états unis , Caraïbe,  SSA a indiqué l'étape de tumeur et Gleason Grade étaient les plus élevés au Sub-Saharen d’ Afrique (SSA). Tableau 5 </w:t>
      </w:r>
      <w:r>
        <w:rPr>
          <w:bCs/>
          <w:sz w:val="24"/>
          <w:szCs w:val="24"/>
          <w:vertAlign w:val="superscript"/>
        </w:rPr>
        <w:t>47, 50</w:t>
      </w:r>
      <w:r>
        <w:rPr>
          <w:bCs/>
          <w:sz w:val="24"/>
          <w:szCs w:val="24"/>
        </w:rPr>
        <w:t xml:space="preserve"> Aux etats </w:t>
      </w:r>
      <w:proofErr w:type="gramStart"/>
      <w:r>
        <w:rPr>
          <w:bCs/>
          <w:sz w:val="24"/>
          <w:szCs w:val="24"/>
        </w:rPr>
        <w:t>unis ,</w:t>
      </w:r>
      <w:proofErr w:type="gramEnd"/>
      <w:r>
        <w:rPr>
          <w:bCs/>
          <w:sz w:val="24"/>
          <w:szCs w:val="24"/>
        </w:rPr>
        <w:t xml:space="preserve"> le taux de mortalité s’abaisse depuis 1990 par la raison de découverte précoce et il est souhaitée que le Ghana pourra l’émulé  (Fig. 4) et d’autres pays africains. Il y a une proportion élevé de maladie d’organ confinée aux états unis et dans les pays avancé qu’au Caraïbe et le Sub Saharen d’ Afrique (SSA) </w:t>
      </w:r>
      <w:proofErr w:type="gramStart"/>
      <w:r>
        <w:rPr>
          <w:bCs/>
          <w:sz w:val="24"/>
          <w:szCs w:val="24"/>
        </w:rPr>
        <w:t>( 5</w:t>
      </w:r>
      <w:proofErr w:type="gramEnd"/>
      <w:r>
        <w:rPr>
          <w:bCs/>
          <w:sz w:val="24"/>
          <w:szCs w:val="24"/>
        </w:rPr>
        <w:t>)</w:t>
      </w:r>
      <w:r>
        <w:rPr>
          <w:bCs/>
          <w:sz w:val="24"/>
          <w:szCs w:val="24"/>
          <w:vertAlign w:val="superscript"/>
        </w:rPr>
        <w:t>47, 50</w:t>
      </w:r>
      <w:r>
        <w:rPr>
          <w:bCs/>
          <w:sz w:val="24"/>
          <w:szCs w:val="24"/>
        </w:rPr>
        <w:t>.</w:t>
      </w:r>
    </w:p>
    <w:p w:rsidR="00177A8D" w:rsidRDefault="00177A8D" w:rsidP="00177A8D">
      <w:pPr>
        <w:spacing w:after="0" w:line="480" w:lineRule="auto"/>
        <w:rPr>
          <w:bCs/>
          <w:sz w:val="24"/>
          <w:szCs w:val="24"/>
          <w:u w:val="single"/>
        </w:rPr>
      </w:pPr>
      <w:r>
        <w:rPr>
          <w:bCs/>
          <w:sz w:val="24"/>
          <w:szCs w:val="24"/>
          <w:u w:val="single"/>
        </w:rPr>
        <w:t xml:space="preserve">Mortalities de Cancer Prostate </w:t>
      </w:r>
    </w:p>
    <w:p w:rsidR="00177A8D" w:rsidRDefault="00177A8D" w:rsidP="00177A8D">
      <w:pPr>
        <w:spacing w:after="0" w:line="480" w:lineRule="auto"/>
        <w:rPr>
          <w:bCs/>
          <w:sz w:val="24"/>
          <w:szCs w:val="24"/>
          <w:vertAlign w:val="superscript"/>
        </w:rPr>
      </w:pPr>
      <w:r>
        <w:rPr>
          <w:bCs/>
          <w:sz w:val="24"/>
          <w:szCs w:val="24"/>
        </w:rPr>
        <w:t xml:space="preserve">Le niveau du survie de PC nouvellement diagnostiqué sont estimé à 80 – 90% aux états unis et </w:t>
      </w:r>
      <w:proofErr w:type="gramStart"/>
      <w:r>
        <w:rPr>
          <w:bCs/>
          <w:sz w:val="24"/>
          <w:szCs w:val="24"/>
        </w:rPr>
        <w:t>sous  40</w:t>
      </w:r>
      <w:proofErr w:type="gramEnd"/>
      <w:r>
        <w:rPr>
          <w:bCs/>
          <w:sz w:val="24"/>
          <w:szCs w:val="24"/>
        </w:rPr>
        <w:t xml:space="preserve">% en  Denmark, Pologne  Algérie. Les régions avec une grande de PC avancé en SSA a rapporté le plus bas figures de mortalité à cause de sous rapport ,manque de registre de cancer , manque de despitage et manque des données d ’ autopsie. Tableau 5 </w:t>
      </w:r>
      <w:r>
        <w:rPr>
          <w:bCs/>
          <w:sz w:val="24"/>
          <w:szCs w:val="24"/>
          <w:vertAlign w:val="superscript"/>
        </w:rPr>
        <w:t>47, 50</w:t>
      </w:r>
      <w:r>
        <w:rPr>
          <w:bCs/>
          <w:sz w:val="24"/>
          <w:szCs w:val="24"/>
        </w:rPr>
        <w:t xml:space="preserve"> Des précautions de  prévention dans L’avenir inclus des régimes de gras légère, peu de viande rouge ,peu de BMI, l'arrête de fumer et la prévention de chimiothérapie par la consommation haute  de Vit E, ,lycopene, sélénium, finasteride, oestrogènes,manipulation des gènes et la prévention par Vaccinia immunisation.</w:t>
      </w:r>
      <w:r>
        <w:rPr>
          <w:bCs/>
          <w:sz w:val="24"/>
          <w:szCs w:val="24"/>
          <w:vertAlign w:val="superscript"/>
        </w:rPr>
        <w:t xml:space="preserve">20, 28, 29, 31, 35, 43, 44, 46, 47, 48 </w:t>
      </w:r>
    </w:p>
    <w:p w:rsidR="00177A8D" w:rsidRDefault="00177A8D" w:rsidP="00177A8D">
      <w:pPr>
        <w:spacing w:after="0" w:line="480" w:lineRule="auto"/>
        <w:rPr>
          <w:bCs/>
          <w:sz w:val="24"/>
          <w:szCs w:val="24"/>
          <w:u w:val="single"/>
        </w:rPr>
      </w:pPr>
      <w:r>
        <w:rPr>
          <w:bCs/>
          <w:sz w:val="24"/>
          <w:szCs w:val="24"/>
          <w:u w:val="single"/>
        </w:rPr>
        <w:t>ECONOMIQUE – COUT DE GESTION DE CP</w:t>
      </w:r>
    </w:p>
    <w:p w:rsidR="00177A8D" w:rsidRDefault="00177A8D" w:rsidP="00177A8D">
      <w:pPr>
        <w:spacing w:after="0" w:line="480" w:lineRule="auto"/>
        <w:rPr>
          <w:bCs/>
          <w:sz w:val="24"/>
          <w:szCs w:val="24"/>
        </w:rPr>
      </w:pPr>
      <w:r>
        <w:rPr>
          <w:bCs/>
          <w:sz w:val="24"/>
          <w:szCs w:val="24"/>
        </w:rPr>
        <w:t>Les couts de gestions de CP  sont ainsi pour l’Europe les états unis : en  Italie de  6575.31 euro, au Royaume Uni de 2818 pounds, et en France 12731 euro, aux etats unis  $12,000.</w:t>
      </w:r>
      <w:r>
        <w:rPr>
          <w:bCs/>
          <w:sz w:val="24"/>
          <w:szCs w:val="24"/>
          <w:vertAlign w:val="superscript"/>
        </w:rPr>
        <w:t>52, 53, 54</w:t>
      </w:r>
      <w:r>
        <w:rPr>
          <w:bCs/>
          <w:sz w:val="24"/>
          <w:szCs w:val="24"/>
        </w:rPr>
        <w:t xml:space="preserve">  Les coûts de gestion sont très élevé pour les pays bas et les pays en voie de développement . Il n y a pas de figures comparable de l’ Afrique. Au Ghana , le chef de la section urologie à KBTH à donné des coût direct individuel pour  prostatectomie radicale ou  EBRT qui varie de GH¢5000 – 6000 (US1250 – 1500), pour la thérapie de Brachy le cout c’est GH¢30,000 – GH¢32,000 i.e. </w:t>
      </w:r>
      <w:r>
        <w:rPr>
          <w:bCs/>
          <w:sz w:val="24"/>
          <w:szCs w:val="24"/>
        </w:rPr>
        <w:lastRenderedPageBreak/>
        <w:t xml:space="preserve">9000 Euros.  Pour la thérapie hormonale le coût est à partir </w:t>
      </w:r>
      <w:proofErr w:type="gramStart"/>
      <w:r>
        <w:rPr>
          <w:bCs/>
          <w:sz w:val="24"/>
          <w:szCs w:val="24"/>
        </w:rPr>
        <w:t>de  GH</w:t>
      </w:r>
      <w:proofErr w:type="gramEnd"/>
      <w:r>
        <w:rPr>
          <w:bCs/>
          <w:sz w:val="24"/>
          <w:szCs w:val="24"/>
        </w:rPr>
        <w:t>¢6400 – 12400 (U$1600 – 3200) par ans et pour  l’ Orchidectomie le coût est à GH¢2000 (U$500).</w:t>
      </w:r>
    </w:p>
    <w:p w:rsidR="00177A8D" w:rsidRDefault="00177A8D" w:rsidP="00177A8D">
      <w:pPr>
        <w:spacing w:after="0" w:line="480" w:lineRule="auto"/>
        <w:rPr>
          <w:bCs/>
          <w:sz w:val="24"/>
          <w:szCs w:val="24"/>
        </w:rPr>
      </w:pPr>
    </w:p>
    <w:p w:rsidR="00177A8D" w:rsidRDefault="00177A8D" w:rsidP="00177A8D">
      <w:pPr>
        <w:spacing w:after="0" w:line="480" w:lineRule="auto"/>
        <w:rPr>
          <w:b/>
          <w:bCs/>
          <w:sz w:val="24"/>
          <w:szCs w:val="24"/>
        </w:rPr>
      </w:pPr>
      <w:r>
        <w:rPr>
          <w:b/>
          <w:bCs/>
          <w:sz w:val="24"/>
          <w:szCs w:val="24"/>
        </w:rPr>
        <w:t>CONCLUSIONS:</w:t>
      </w:r>
    </w:p>
    <w:p w:rsidR="00177A8D" w:rsidRDefault="00177A8D" w:rsidP="00177A8D">
      <w:pPr>
        <w:spacing w:after="0" w:line="480" w:lineRule="auto"/>
        <w:rPr>
          <w:bCs/>
          <w:sz w:val="24"/>
          <w:szCs w:val="24"/>
        </w:rPr>
      </w:pPr>
      <w:r>
        <w:rPr>
          <w:bCs/>
          <w:sz w:val="24"/>
          <w:szCs w:val="24"/>
          <w:u w:val="single"/>
        </w:rPr>
        <w:t>BÉNIGNE PROSTATIQUE HYPERPLASIE (BPH/BPE</w:t>
      </w:r>
      <w:r>
        <w:rPr>
          <w:bCs/>
          <w:sz w:val="24"/>
          <w:szCs w:val="24"/>
        </w:rPr>
        <w:t xml:space="preserve">).  </w:t>
      </w:r>
    </w:p>
    <w:p w:rsidR="00177A8D" w:rsidRDefault="00177A8D" w:rsidP="00177A8D">
      <w:pPr>
        <w:spacing w:line="480" w:lineRule="auto"/>
        <w:rPr>
          <w:bCs/>
          <w:sz w:val="24"/>
          <w:szCs w:val="24"/>
        </w:rPr>
      </w:pPr>
      <w:r>
        <w:rPr>
          <w:bCs/>
          <w:sz w:val="24"/>
          <w:szCs w:val="24"/>
        </w:rPr>
        <w:t xml:space="preserve">Rapports des études parmi les races aux états </w:t>
      </w:r>
      <w:proofErr w:type="gramStart"/>
      <w:r>
        <w:rPr>
          <w:bCs/>
          <w:sz w:val="24"/>
          <w:szCs w:val="24"/>
        </w:rPr>
        <w:t>unis ,</w:t>
      </w:r>
      <w:proofErr w:type="gramEnd"/>
      <w:r>
        <w:rPr>
          <w:bCs/>
          <w:sz w:val="24"/>
          <w:szCs w:val="24"/>
        </w:rPr>
        <w:t xml:space="preserve"> Royaume Uni et l'Asie ou communauté  Asie ou noir  dans ses pays et  Ghana Figs 1, 2, 3, Tableau 4 </w:t>
      </w:r>
      <w:r>
        <w:rPr>
          <w:bCs/>
          <w:sz w:val="24"/>
          <w:szCs w:val="24"/>
          <w:vertAlign w:val="superscript"/>
        </w:rPr>
        <w:t xml:space="preserve">18, 36 – 40 </w:t>
      </w:r>
      <w:r>
        <w:rPr>
          <w:bCs/>
          <w:sz w:val="24"/>
          <w:szCs w:val="24"/>
        </w:rPr>
        <w:t xml:space="preserve"> et d’autres rapports d’Afrique confirme la haute prévalence de BPH/BPE chez les  Africains et les hommes du descendants ,</w:t>
      </w:r>
      <w:r>
        <w:rPr>
          <w:bCs/>
          <w:sz w:val="24"/>
          <w:szCs w:val="24"/>
          <w:vertAlign w:val="superscript"/>
        </w:rPr>
        <w:t>1, 2, 3, 4, 8, 10, 11, 15, 16, 17, 18, 19, 20, 36 - 40</w:t>
      </w:r>
      <w:r>
        <w:rPr>
          <w:bCs/>
          <w:sz w:val="24"/>
          <w:szCs w:val="24"/>
        </w:rPr>
        <w:t xml:space="preserve">.  Le rapport à </w:t>
      </w:r>
      <w:proofErr w:type="gramStart"/>
      <w:r>
        <w:rPr>
          <w:bCs/>
          <w:sz w:val="24"/>
          <w:szCs w:val="24"/>
        </w:rPr>
        <w:t>travers</w:t>
      </w:r>
      <w:proofErr w:type="gramEnd"/>
      <w:r>
        <w:rPr>
          <w:bCs/>
          <w:sz w:val="24"/>
          <w:szCs w:val="24"/>
        </w:rPr>
        <w:t xml:space="preserve"> le clairsemé indique la haute prévalence de BPH chez les Africains, </w:t>
      </w:r>
    </w:p>
    <w:p w:rsidR="00177A8D" w:rsidRDefault="00177A8D" w:rsidP="00177A8D">
      <w:pPr>
        <w:spacing w:line="480" w:lineRule="auto"/>
        <w:rPr>
          <w:bCs/>
          <w:sz w:val="24"/>
          <w:szCs w:val="24"/>
          <w:vertAlign w:val="superscript"/>
        </w:rPr>
      </w:pPr>
      <w:r>
        <w:rPr>
          <w:bCs/>
          <w:sz w:val="24"/>
          <w:szCs w:val="24"/>
        </w:rPr>
        <w:t xml:space="preserve">La prévalence entre les vivants et les morts doivent se vérifier dans d’autres partis </w:t>
      </w:r>
      <w:proofErr w:type="gramStart"/>
      <w:r>
        <w:rPr>
          <w:bCs/>
          <w:sz w:val="24"/>
          <w:szCs w:val="24"/>
        </w:rPr>
        <w:t>d’Afrique .</w:t>
      </w:r>
      <w:proofErr w:type="gramEnd"/>
    </w:p>
    <w:p w:rsidR="00177A8D" w:rsidRDefault="00177A8D" w:rsidP="00177A8D">
      <w:pPr>
        <w:spacing w:after="0" w:line="480" w:lineRule="auto"/>
        <w:rPr>
          <w:bCs/>
          <w:sz w:val="24"/>
          <w:szCs w:val="24"/>
          <w:u w:val="single"/>
        </w:rPr>
      </w:pPr>
    </w:p>
    <w:p w:rsidR="00177A8D" w:rsidRDefault="00177A8D" w:rsidP="00177A8D">
      <w:pPr>
        <w:spacing w:after="0" w:line="480" w:lineRule="auto"/>
        <w:rPr>
          <w:bCs/>
          <w:sz w:val="24"/>
          <w:szCs w:val="24"/>
          <w:u w:val="single"/>
        </w:rPr>
      </w:pPr>
      <w:r>
        <w:rPr>
          <w:bCs/>
          <w:sz w:val="24"/>
          <w:szCs w:val="24"/>
          <w:u w:val="single"/>
        </w:rPr>
        <w:t xml:space="preserve">BÉNIGNE PROSTATIQUE HYPERPLASIE CO-EXISTANT AVEC CARCINOME </w:t>
      </w:r>
      <w:proofErr w:type="gramStart"/>
      <w:r>
        <w:rPr>
          <w:bCs/>
          <w:sz w:val="24"/>
          <w:szCs w:val="24"/>
          <w:u w:val="single"/>
        </w:rPr>
        <w:t>DE  PROSTATE</w:t>
      </w:r>
      <w:proofErr w:type="gramEnd"/>
    </w:p>
    <w:p w:rsidR="00177A8D" w:rsidRDefault="00177A8D" w:rsidP="00177A8D">
      <w:pPr>
        <w:spacing w:line="480" w:lineRule="auto"/>
        <w:rPr>
          <w:bCs/>
          <w:sz w:val="24"/>
          <w:szCs w:val="24"/>
        </w:rPr>
      </w:pPr>
      <w:r>
        <w:rPr>
          <w:bCs/>
          <w:sz w:val="24"/>
          <w:szCs w:val="24"/>
        </w:rPr>
        <w:t xml:space="preserve">Des Rapports </w:t>
      </w:r>
      <w:r>
        <w:rPr>
          <w:bCs/>
          <w:sz w:val="24"/>
          <w:szCs w:val="24"/>
          <w:vertAlign w:val="superscript"/>
        </w:rPr>
        <w:t>1, 2, 3, 4, 6, 7, 8, 30</w:t>
      </w:r>
      <w:r>
        <w:rPr>
          <w:bCs/>
          <w:sz w:val="24"/>
          <w:szCs w:val="24"/>
        </w:rPr>
        <w:t xml:space="preserve"> ont indiqué qu’il y a des incidences relativement modéré de </w:t>
      </w:r>
      <w:proofErr w:type="gramStart"/>
      <w:r>
        <w:rPr>
          <w:bCs/>
          <w:sz w:val="24"/>
          <w:szCs w:val="24"/>
        </w:rPr>
        <w:t>CP  parmi</w:t>
      </w:r>
      <w:proofErr w:type="gramEnd"/>
      <w:r>
        <w:rPr>
          <w:bCs/>
          <w:sz w:val="24"/>
          <w:szCs w:val="24"/>
        </w:rPr>
        <w:t xml:space="preserve"> les sujets suivants de traitement pour  BPH. La prévalence de PC parmi </w:t>
      </w:r>
      <w:proofErr w:type="gramStart"/>
      <w:r>
        <w:rPr>
          <w:bCs/>
          <w:sz w:val="24"/>
          <w:szCs w:val="24"/>
        </w:rPr>
        <w:t>les  TURP</w:t>
      </w:r>
      <w:proofErr w:type="gramEnd"/>
      <w:r>
        <w:rPr>
          <w:bCs/>
          <w:sz w:val="24"/>
          <w:szCs w:val="24"/>
        </w:rPr>
        <w:t xml:space="preserve"> chippings pour le traitement de BPH ont été rapportés à  3 – 20%.  D’autres rapports indique que incidence de PC chez les patients contrôlé </w:t>
      </w:r>
      <w:proofErr w:type="gramStart"/>
      <w:r>
        <w:rPr>
          <w:bCs/>
          <w:sz w:val="24"/>
          <w:szCs w:val="24"/>
        </w:rPr>
        <w:t>pour  BPH</w:t>
      </w:r>
      <w:proofErr w:type="gramEnd"/>
      <w:r>
        <w:rPr>
          <w:bCs/>
          <w:sz w:val="24"/>
          <w:szCs w:val="24"/>
        </w:rPr>
        <w:t xml:space="preserve"> a été enregistré.</w:t>
      </w:r>
    </w:p>
    <w:p w:rsidR="00177A8D" w:rsidRDefault="00177A8D" w:rsidP="00177A8D">
      <w:pPr>
        <w:spacing w:after="0" w:line="480" w:lineRule="auto"/>
        <w:rPr>
          <w:bCs/>
          <w:sz w:val="24"/>
          <w:szCs w:val="24"/>
          <w:u w:val="single"/>
        </w:rPr>
      </w:pPr>
      <w:r>
        <w:rPr>
          <w:bCs/>
          <w:sz w:val="24"/>
          <w:szCs w:val="24"/>
          <w:u w:val="single"/>
        </w:rPr>
        <w:t xml:space="preserve">LE CANCER PROSTATE </w:t>
      </w:r>
    </w:p>
    <w:p w:rsidR="00177A8D" w:rsidRDefault="00177A8D" w:rsidP="00177A8D">
      <w:pPr>
        <w:spacing w:line="480" w:lineRule="auto"/>
        <w:rPr>
          <w:bCs/>
          <w:sz w:val="24"/>
          <w:szCs w:val="24"/>
          <w:vertAlign w:val="superscript"/>
        </w:rPr>
      </w:pPr>
      <w:r>
        <w:rPr>
          <w:bCs/>
          <w:sz w:val="24"/>
          <w:szCs w:val="24"/>
        </w:rPr>
        <w:t xml:space="preserve">Les africains, Afro- Americains et les Africains au royaume uni et le diaspora et ceux qui sont nés au Caraïbe et leurs descendants ont des hauts prévalence de PC ainsi que plus d’aggressive , G&gt;7 et haut  PSA valeurs &gt;52ng/ml et plus avancement au niveau locale  (T3 T4) et la maladie </w:t>
      </w:r>
      <w:r>
        <w:rPr>
          <w:bCs/>
          <w:sz w:val="24"/>
          <w:szCs w:val="24"/>
        </w:rPr>
        <w:lastRenderedPageBreak/>
        <w:t>métastatique qui a un taux élève de mortalité que les Caucasiens et Asiatics Fig 5 et Tableau 5.</w:t>
      </w:r>
      <w:r>
        <w:rPr>
          <w:bCs/>
          <w:sz w:val="24"/>
          <w:szCs w:val="24"/>
          <w:vertAlign w:val="superscript"/>
        </w:rPr>
        <w:t xml:space="preserve">20, 28, 43 – 51 </w:t>
      </w:r>
      <w:r>
        <w:rPr>
          <w:bCs/>
          <w:sz w:val="24"/>
          <w:szCs w:val="24"/>
        </w:rPr>
        <w:t xml:space="preserve">  L’immense usage d’epreuve PSA , la dépistage aux états unis , Europe et d’autres pays avancé a mené à l’haute détection précoce de CP et la baisse de migration de CP lors de présentation et un grand taux de traitement curative ainsi que la prostatectomie radicale et la thérapie de radiation.Cela à réduit la mortalité de PC chez les hommes américains.Le rapport de peu prévalence en Afrique  est attribué à l’absence de registres de cance et peu utile de test et le dépistage de PSA aux pays africains.  N’importe ou il y a eu la dépistage PSA  et le test et etablir  les regitres de cancer en Africa , au Caraïbe ou autopsie des études de  population basé ainsi que le  Trinité et  Tobago et le Ghana, ont rapporté une haute prévalence ou incidence de  PC parmi les Africains en Afrique Figs 4, 5 Tableau 5 et le diaspora.  Des études précédent sont recommende chez les  africains pour avoir une vraie prévalence de PC chez les  Africains même que la dépistage pour le  PC reste  controversiel</w:t>
      </w:r>
      <w:r>
        <w:rPr>
          <w:bCs/>
          <w:sz w:val="24"/>
          <w:szCs w:val="24"/>
          <w:vertAlign w:val="superscript"/>
        </w:rPr>
        <w:t xml:space="preserve">19, 20, 28, 29, 31, 32,  33, 34, 35, 43 – 51   </w:t>
      </w:r>
    </w:p>
    <w:p w:rsidR="00177A8D" w:rsidRDefault="00177A8D" w:rsidP="00177A8D">
      <w:pPr>
        <w:spacing w:after="0" w:line="480" w:lineRule="auto"/>
        <w:rPr>
          <w:bCs/>
          <w:sz w:val="24"/>
          <w:szCs w:val="24"/>
          <w:u w:val="single"/>
        </w:rPr>
      </w:pPr>
      <w:r>
        <w:rPr>
          <w:bCs/>
          <w:sz w:val="24"/>
          <w:szCs w:val="24"/>
          <w:u w:val="single"/>
        </w:rPr>
        <w:t>LE COUT ECONOMIQUE DE BPH ET PC</w:t>
      </w:r>
    </w:p>
    <w:p w:rsidR="00177A8D" w:rsidRDefault="00177A8D" w:rsidP="00177A8D">
      <w:pPr>
        <w:spacing w:line="480" w:lineRule="auto"/>
        <w:rPr>
          <w:bCs/>
          <w:sz w:val="24"/>
          <w:szCs w:val="24"/>
        </w:rPr>
      </w:pPr>
      <w:r>
        <w:rPr>
          <w:bCs/>
          <w:sz w:val="24"/>
          <w:szCs w:val="24"/>
        </w:rPr>
        <w:t>En addition à l'aspect de santé publique de BPH et PC, les deux ont des haute estimation élevé de coût économique, concernant le coût direct , l’attendance clinique, cout de traitement par médications et procédures chirurgical et morbidité comme rapporté des états unis et Europe, malheureusement, il n y a pas de figures comparaple de l’Afrique .  Sachant la vraie prévalence de BPH et PC en Afrique et leurs couts économique vont aidé la planification des budgets de santé et l'assurance de santé aux pays Africains</w:t>
      </w:r>
      <w:r>
        <w:rPr>
          <w:bCs/>
          <w:sz w:val="24"/>
          <w:szCs w:val="24"/>
          <w:vertAlign w:val="superscript"/>
        </w:rPr>
        <w:t>41, 42, 52, 53, 54</w:t>
      </w:r>
    </w:p>
    <w:p w:rsidR="00177A8D" w:rsidRDefault="00177A8D" w:rsidP="00177A8D">
      <w:pPr>
        <w:spacing w:line="480" w:lineRule="auto"/>
        <w:rPr>
          <w:bCs/>
          <w:sz w:val="24"/>
          <w:szCs w:val="24"/>
          <w:u w:val="single"/>
        </w:rPr>
      </w:pPr>
      <w:r>
        <w:rPr>
          <w:bCs/>
          <w:sz w:val="24"/>
          <w:szCs w:val="24"/>
          <w:u w:val="single"/>
        </w:rPr>
        <w:t xml:space="preserve">RECONNAISSANCE </w:t>
      </w:r>
    </w:p>
    <w:p w:rsidR="00177A8D" w:rsidRDefault="00177A8D" w:rsidP="00177A8D">
      <w:pPr>
        <w:spacing w:after="0" w:line="480" w:lineRule="auto"/>
        <w:rPr>
          <w:bCs/>
          <w:sz w:val="24"/>
          <w:szCs w:val="24"/>
        </w:rPr>
      </w:pPr>
      <w:r>
        <w:rPr>
          <w:bCs/>
          <w:sz w:val="24"/>
          <w:szCs w:val="24"/>
        </w:rPr>
        <w:lastRenderedPageBreak/>
        <w:t>Je suis reconnaissant à mes collègues qui m'ont aidé avec les études original de ce travail .Le Professor Ann Hsing (de l’université de Stanford University), Professors Yao Tettey, RB Biritwum, AA Adjei, AB Akosa, GO Klufio, Drs JE Mensah, MY Kyei, KN Ampadu, K Asante , toute l'équipe d'école de medecine et orthodontique de Korle Bu hopital de l’enseignement (KBTH) Accra et tout les résidents, physiciens et infirmières qui ont assisté dans les citations des travaux originale d ’ étude de santé prostate du sur BPH et  PC a KBTH.  Nous sommes reconnaissant vers madame Evelyn Tay pour la cordination l’étude de santé prostate et vers Mlle Ms Victoria Okyne pour la cordination et travail de secrétaire et le département d’ilustration médical de collège de science de santé College pour quelques  illustrations.</w:t>
      </w:r>
    </w:p>
    <w:p w:rsidR="00177A8D" w:rsidRDefault="00177A8D" w:rsidP="00177A8D">
      <w:pPr>
        <w:spacing w:after="0" w:line="480" w:lineRule="auto"/>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Cs/>
          <w:i/>
          <w:sz w:val="24"/>
          <w:szCs w:val="24"/>
          <w:u w:val="single"/>
        </w:rPr>
      </w:pPr>
    </w:p>
    <w:p w:rsidR="00177A8D" w:rsidRDefault="00177A8D" w:rsidP="00177A8D">
      <w:pPr>
        <w:spacing w:after="0"/>
        <w:rPr>
          <w:rFonts w:eastAsia="Times New Roman" w:cs="Arial"/>
          <w:b/>
          <w:color w:val="000000"/>
          <w:sz w:val="24"/>
          <w:szCs w:val="24"/>
        </w:rPr>
      </w:pPr>
      <w:r>
        <w:rPr>
          <w:rFonts w:eastAsia="Times New Roman" w:cs="Arial"/>
          <w:b/>
          <w:color w:val="000000"/>
          <w:sz w:val="24"/>
          <w:szCs w:val="24"/>
        </w:rPr>
        <w:t>Tableau 1</w:t>
      </w:r>
    </w:p>
    <w:tbl>
      <w:tblPr>
        <w:tblStyle w:val="TableGrid"/>
        <w:tblW w:w="0" w:type="auto"/>
        <w:tblLook w:val="04A0"/>
      </w:tblPr>
      <w:tblGrid>
        <w:gridCol w:w="6588"/>
      </w:tblGrid>
      <w:tr w:rsidR="00177A8D" w:rsidTr="005F4159">
        <w:tc>
          <w:tcPr>
            <w:tcW w:w="6588" w:type="dxa"/>
          </w:tcPr>
          <w:p w:rsidR="00177A8D" w:rsidRDefault="00177A8D" w:rsidP="005F4159">
            <w:pPr>
              <w:rPr>
                <w:rFonts w:eastAsia="Times New Roman" w:cs="Arial"/>
                <w:color w:val="000000"/>
                <w:sz w:val="24"/>
                <w:szCs w:val="24"/>
              </w:rPr>
            </w:pPr>
            <w:r>
              <w:rPr>
                <w:rFonts w:eastAsia="Times New Roman" w:cs="Arial"/>
                <w:color w:val="000000"/>
                <w:sz w:val="24"/>
                <w:szCs w:val="24"/>
              </w:rPr>
              <w:t>L’ANATOMIE MORPHOLOGICAL  ET ORIGINE BPH/CAP EN PROSTATE GLAND</w:t>
            </w:r>
          </w:p>
        </w:tc>
      </w:tr>
      <w:tr w:rsidR="00177A8D" w:rsidTr="005F4159">
        <w:trPr>
          <w:trHeight w:val="1727"/>
        </w:trPr>
        <w:tc>
          <w:tcPr>
            <w:tcW w:w="6588" w:type="dxa"/>
          </w:tcPr>
          <w:p w:rsidR="00177A8D" w:rsidRDefault="00177A8D" w:rsidP="005F4159">
            <w:pPr>
              <w:rPr>
                <w:rFonts w:eastAsia="Times New Roman" w:cs="Arial"/>
                <w:color w:val="000000"/>
                <w:sz w:val="24"/>
                <w:szCs w:val="24"/>
              </w:rPr>
            </w:pPr>
            <w:r>
              <w:rPr>
                <w:rFonts w:eastAsia="Times New Roman" w:cs="Arial"/>
                <w:color w:val="000000"/>
                <w:sz w:val="24"/>
                <w:szCs w:val="24"/>
              </w:rPr>
              <w:tab/>
            </w:r>
            <w:r>
              <w:rPr>
                <w:rFonts w:eastAsia="Times New Roman" w:cs="Arial"/>
                <w:color w:val="000000"/>
                <w:sz w:val="24"/>
                <w:szCs w:val="24"/>
              </w:rPr>
              <w:tab/>
              <w:t xml:space="preserve">Normale </w:t>
            </w:r>
          </w:p>
          <w:p w:rsidR="00177A8D" w:rsidRDefault="00177A8D" w:rsidP="005F4159">
            <w:pPr>
              <w:ind w:left="720"/>
              <w:rPr>
                <w:rFonts w:eastAsia="Times New Roman" w:cs="Arial"/>
                <w:color w:val="000000"/>
                <w:sz w:val="24"/>
                <w:szCs w:val="24"/>
              </w:rPr>
            </w:pPr>
            <w:r>
              <w:rPr>
                <w:rFonts w:eastAsia="Times New Roman" w:cs="Arial"/>
                <w:color w:val="000000"/>
                <w:sz w:val="24"/>
                <w:szCs w:val="24"/>
                <w:u w:val="single"/>
              </w:rPr>
              <w:t>Origines</w:t>
            </w:r>
            <w:r>
              <w:rPr>
                <w:rFonts w:eastAsia="Times New Roman" w:cs="Arial"/>
                <w:color w:val="000000"/>
                <w:sz w:val="24"/>
                <w:szCs w:val="24"/>
              </w:rPr>
              <w:t xml:space="preserve">        ....</w:t>
            </w:r>
            <w:r>
              <w:rPr>
                <w:rFonts w:eastAsia="Times New Roman" w:cs="Arial"/>
                <w:color w:val="000000"/>
                <w:sz w:val="24"/>
                <w:szCs w:val="24"/>
                <w:u w:val="single"/>
              </w:rPr>
              <w:t>Gland</w:t>
            </w:r>
            <w:r>
              <w:rPr>
                <w:rFonts w:eastAsia="Times New Roman" w:cs="Arial"/>
                <w:color w:val="000000"/>
                <w:sz w:val="24"/>
                <w:szCs w:val="24"/>
              </w:rPr>
              <w:t xml:space="preserve">      </w:t>
            </w:r>
            <w:r>
              <w:rPr>
                <w:rFonts w:eastAsia="Times New Roman" w:cs="Arial"/>
                <w:color w:val="000000"/>
                <w:sz w:val="24"/>
                <w:szCs w:val="24"/>
                <w:u w:val="single"/>
              </w:rPr>
              <w:t>BPH/BPE</w:t>
            </w:r>
            <w:r>
              <w:rPr>
                <w:rFonts w:eastAsia="Times New Roman" w:cs="Arial"/>
                <w:color w:val="000000"/>
                <w:sz w:val="24"/>
                <w:szCs w:val="24"/>
              </w:rPr>
              <w:t xml:space="preserve">          </w:t>
            </w:r>
            <w:r>
              <w:rPr>
                <w:rFonts w:eastAsia="Times New Roman" w:cs="Arial"/>
                <w:color w:val="000000"/>
                <w:sz w:val="24"/>
                <w:szCs w:val="24"/>
                <w:u w:val="single"/>
              </w:rPr>
              <w:t>Prostate Cancer (PC)</w:t>
            </w:r>
            <w:r>
              <w:rPr>
                <w:rFonts w:eastAsia="Times New Roman" w:cs="Arial"/>
                <w:color w:val="000000"/>
                <w:sz w:val="24"/>
                <w:szCs w:val="24"/>
              </w:rPr>
              <w:t xml:space="preserve"> </w:t>
            </w:r>
            <w:r>
              <w:rPr>
                <w:rFonts w:eastAsia="Times New Roman" w:cs="Arial"/>
                <w:color w:val="000000"/>
                <w:sz w:val="24"/>
                <w:szCs w:val="24"/>
              </w:rPr>
              <w:tab/>
              <w:t xml:space="preserve"> </w:t>
            </w:r>
          </w:p>
          <w:p w:rsidR="00177A8D" w:rsidRDefault="00177A8D" w:rsidP="00177A8D">
            <w:pPr>
              <w:numPr>
                <w:ilvl w:val="0"/>
                <w:numId w:val="7"/>
              </w:numPr>
              <w:rPr>
                <w:rFonts w:eastAsia="Times New Roman" w:cs="Arial"/>
                <w:color w:val="000000"/>
                <w:sz w:val="24"/>
                <w:szCs w:val="24"/>
              </w:rPr>
            </w:pPr>
            <w:r>
              <w:rPr>
                <w:rFonts w:eastAsia="Times New Roman" w:cs="Arial"/>
                <w:color w:val="000000"/>
                <w:sz w:val="24"/>
                <w:szCs w:val="24"/>
              </w:rPr>
              <w:t>PZ               70 – 80%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&gt; 70%</w:t>
            </w:r>
          </w:p>
          <w:p w:rsidR="00177A8D" w:rsidRDefault="00177A8D" w:rsidP="00177A8D">
            <w:pPr>
              <w:numPr>
                <w:ilvl w:val="0"/>
                <w:numId w:val="7"/>
              </w:numPr>
              <w:rPr>
                <w:rFonts w:eastAsia="Times New Roman" w:cs="Arial"/>
                <w:color w:val="000000"/>
                <w:sz w:val="24"/>
                <w:szCs w:val="24"/>
              </w:rPr>
            </w:pPr>
            <w:r>
              <w:rPr>
                <w:rFonts w:eastAsia="Times New Roman" w:cs="Arial"/>
                <w:color w:val="000000"/>
                <w:sz w:val="24"/>
                <w:szCs w:val="24"/>
              </w:rPr>
              <w:t>TZ               10%                 100%</w:t>
            </w:r>
            <w:r>
              <w:rPr>
                <w:rFonts w:eastAsia="Times New Roman" w:cs="Arial"/>
                <w:color w:val="000000"/>
                <w:sz w:val="24"/>
                <w:szCs w:val="24"/>
              </w:rPr>
              <w:tab/>
            </w:r>
            <w:r>
              <w:rPr>
                <w:rFonts w:eastAsia="Times New Roman" w:cs="Arial"/>
                <w:color w:val="000000"/>
                <w:sz w:val="24"/>
                <w:szCs w:val="24"/>
              </w:rPr>
              <w:tab/>
              <w:t xml:space="preserve">   20%</w:t>
            </w:r>
          </w:p>
          <w:p w:rsidR="00177A8D" w:rsidRDefault="00177A8D" w:rsidP="00177A8D">
            <w:pPr>
              <w:numPr>
                <w:ilvl w:val="0"/>
                <w:numId w:val="7"/>
              </w:numPr>
              <w:rPr>
                <w:rFonts w:eastAsia="Times New Roman" w:cs="Arial"/>
                <w:color w:val="000000"/>
                <w:sz w:val="24"/>
                <w:szCs w:val="24"/>
              </w:rPr>
            </w:pPr>
            <w:r>
              <w:rPr>
                <w:rFonts w:eastAsia="Times New Roman" w:cs="Arial"/>
                <w:color w:val="000000"/>
                <w:sz w:val="24"/>
                <w:szCs w:val="24"/>
              </w:rPr>
              <w:t>CZ               20%                  -</w:t>
            </w:r>
            <w:r>
              <w:rPr>
                <w:rFonts w:eastAsia="Times New Roman" w:cs="Arial"/>
                <w:color w:val="000000"/>
                <w:sz w:val="24"/>
                <w:szCs w:val="24"/>
              </w:rPr>
              <w:tab/>
            </w:r>
            <w:r>
              <w:rPr>
                <w:rFonts w:eastAsia="Times New Roman" w:cs="Arial"/>
                <w:color w:val="000000"/>
                <w:sz w:val="24"/>
                <w:szCs w:val="24"/>
              </w:rPr>
              <w:tab/>
              <w:t xml:space="preserve">   </w:t>
            </w:r>
            <w:r>
              <w:rPr>
                <w:rFonts w:eastAsia="Times New Roman" w:cs="Arial"/>
                <w:color w:val="000000"/>
                <w:sz w:val="24"/>
                <w:szCs w:val="24"/>
              </w:rPr>
              <w:tab/>
              <w:t xml:space="preserve">   10%</w:t>
            </w:r>
          </w:p>
          <w:p w:rsidR="00177A8D" w:rsidRDefault="00177A8D" w:rsidP="005F4159">
            <w:pPr>
              <w:rPr>
                <w:rFonts w:eastAsia="Times New Roman" w:cs="Arial"/>
                <w:color w:val="000000"/>
                <w:sz w:val="24"/>
                <w:szCs w:val="24"/>
              </w:rPr>
            </w:pPr>
          </w:p>
        </w:tc>
      </w:tr>
    </w:tbl>
    <w:p w:rsidR="00177A8D" w:rsidRDefault="00177A8D" w:rsidP="00177A8D">
      <w:pPr>
        <w:rPr>
          <w:rFonts w:eastAsia="Times New Roman" w:cs="Arial"/>
          <w:b/>
          <w:color w:val="000000"/>
          <w:sz w:val="24"/>
          <w:szCs w:val="24"/>
        </w:rPr>
      </w:pPr>
    </w:p>
    <w:p w:rsidR="00177A8D" w:rsidRDefault="00177A8D" w:rsidP="00177A8D">
      <w:pPr>
        <w:spacing w:after="0"/>
        <w:rPr>
          <w:bCs/>
          <w:i/>
          <w:sz w:val="24"/>
          <w:szCs w:val="24"/>
          <w:u w:val="single"/>
        </w:rPr>
      </w:pPr>
    </w:p>
    <w:p w:rsidR="00177A8D" w:rsidRDefault="00177A8D" w:rsidP="00177A8D">
      <w:pPr>
        <w:spacing w:after="0" w:line="240" w:lineRule="auto"/>
        <w:rPr>
          <w:rFonts w:eastAsia="Times New Roman" w:cs="Arial"/>
          <w:b/>
          <w:bCs/>
          <w:color w:val="000000"/>
          <w:sz w:val="24"/>
          <w:szCs w:val="24"/>
        </w:rPr>
      </w:pPr>
    </w:p>
    <w:p w:rsidR="00177A8D" w:rsidRDefault="00177A8D" w:rsidP="00177A8D">
      <w:pPr>
        <w:spacing w:after="0" w:line="240" w:lineRule="auto"/>
        <w:rPr>
          <w:rFonts w:eastAsia="Times New Roman" w:cs="Arial"/>
          <w:b/>
          <w:bCs/>
          <w:color w:val="000000"/>
          <w:sz w:val="24"/>
          <w:szCs w:val="24"/>
        </w:rPr>
      </w:pPr>
    </w:p>
    <w:p w:rsidR="00177A8D" w:rsidRDefault="00177A8D" w:rsidP="00177A8D">
      <w:pPr>
        <w:spacing w:after="0" w:line="240" w:lineRule="auto"/>
        <w:rPr>
          <w:rFonts w:eastAsia="Times New Roman" w:cs="Arial"/>
          <w:color w:val="000000"/>
          <w:sz w:val="24"/>
          <w:szCs w:val="24"/>
        </w:rPr>
      </w:pPr>
      <w:r>
        <w:rPr>
          <w:rFonts w:eastAsia="Times New Roman" w:cs="Arial"/>
          <w:b/>
          <w:bCs/>
          <w:color w:val="000000"/>
          <w:sz w:val="24"/>
          <w:szCs w:val="24"/>
        </w:rPr>
        <w:t xml:space="preserve">Table </w:t>
      </w:r>
      <w:proofErr w:type="gramStart"/>
      <w:r>
        <w:rPr>
          <w:rFonts w:eastAsia="Times New Roman" w:cs="Arial"/>
          <w:b/>
          <w:bCs/>
          <w:color w:val="000000"/>
          <w:sz w:val="24"/>
          <w:szCs w:val="24"/>
        </w:rPr>
        <w:t>2</w:t>
      </w:r>
      <w:r>
        <w:rPr>
          <w:rFonts w:eastAsia="Times New Roman" w:cs="Arial"/>
          <w:bCs/>
          <w:color w:val="000000"/>
          <w:sz w:val="24"/>
          <w:szCs w:val="24"/>
        </w:rPr>
        <w:t>.LA  PREVALENCE</w:t>
      </w:r>
      <w:proofErr w:type="gramEnd"/>
      <w:r>
        <w:rPr>
          <w:rFonts w:eastAsia="Times New Roman" w:cs="Arial"/>
          <w:bCs/>
          <w:color w:val="000000"/>
          <w:sz w:val="24"/>
          <w:szCs w:val="24"/>
        </w:rPr>
        <w:t xml:space="preserve"> DE  BPH/BPE ET  LA VOIE URINAIRE INFÉRIEUR..A1ND LES SYMPTOMES DE LA URINAIRE INFERIEUR (LUTS) AU GHANA AFRIQUE DE L’OUEST</w:t>
      </w:r>
      <w:r>
        <w:rPr>
          <w:rFonts w:eastAsia="Times New Roman" w:cs="Arial"/>
          <w:bCs/>
          <w:color w:val="000000"/>
          <w:sz w:val="24"/>
          <w:szCs w:val="24"/>
          <w:vertAlign w:val="superscript"/>
        </w:rPr>
        <w:t>18</w:t>
      </w:r>
    </w:p>
    <w:p w:rsidR="00177A8D" w:rsidRDefault="00177A8D" w:rsidP="00177A8D">
      <w:pPr>
        <w:spacing w:after="0" w:line="240" w:lineRule="auto"/>
        <w:rPr>
          <w:rFonts w:eastAsia="Times New Roman" w:cs="Arial"/>
          <w:b/>
          <w:color w:val="000000"/>
          <w:sz w:val="24"/>
          <w:szCs w:val="24"/>
        </w:rPr>
      </w:pPr>
    </w:p>
    <w:tbl>
      <w:tblPr>
        <w:tblStyle w:val="TableGrid"/>
        <w:tblW w:w="0" w:type="auto"/>
        <w:tblLook w:val="04A0"/>
      </w:tblPr>
      <w:tblGrid>
        <w:gridCol w:w="9576"/>
      </w:tblGrid>
      <w:tr w:rsidR="00177A8D" w:rsidTr="005F4159">
        <w:trPr>
          <w:trHeight w:val="937"/>
        </w:trPr>
        <w:tc>
          <w:tcPr>
            <w:tcW w:w="9576" w:type="dxa"/>
            <w:tcBorders>
              <w:left w:val="nil"/>
              <w:bottom w:val="single" w:sz="4" w:space="0" w:color="auto"/>
              <w:right w:val="nil"/>
            </w:tcBorders>
          </w:tcPr>
          <w:p w:rsidR="00177A8D" w:rsidRDefault="00177A8D" w:rsidP="005F4159">
            <w:pPr>
              <w:spacing w:line="276" w:lineRule="auto"/>
            </w:pPr>
            <w:r>
              <w:t xml:space="preserve">                                                                                                                Age G selon les ans </w:t>
            </w:r>
          </w:p>
          <w:p w:rsidR="00177A8D" w:rsidRDefault="00177A8D" w:rsidP="005F4159">
            <w:pPr>
              <w:spacing w:line="276" w:lineRule="auto"/>
            </w:pPr>
            <w:r>
              <w:t>Définition BPH LUTS                   tout entiers                         50 – 59                      60 – 69                   70 – 79</w:t>
            </w:r>
          </w:p>
          <w:p w:rsidR="00177A8D" w:rsidRDefault="00177A8D" w:rsidP="005F4159">
            <w:pPr>
              <w:spacing w:line="276" w:lineRule="auto"/>
            </w:pPr>
            <w:r>
              <w:t xml:space="preserve">                                                      (n=950)</w:t>
            </w:r>
          </w:p>
        </w:tc>
      </w:tr>
      <w:tr w:rsidR="00177A8D" w:rsidTr="005F4159">
        <w:tc>
          <w:tcPr>
            <w:tcW w:w="9576" w:type="dxa"/>
            <w:tcBorders>
              <w:left w:val="nil"/>
              <w:right w:val="nil"/>
            </w:tcBorders>
          </w:tcPr>
          <w:p w:rsidR="00177A8D" w:rsidRDefault="00177A8D" w:rsidP="005F4159">
            <w:pPr>
              <w:spacing w:line="276" w:lineRule="auto"/>
            </w:pPr>
            <w:r>
              <w:t>DRE/BPE ≥ 30cc                              62                            59                                68                            60</w:t>
            </w:r>
          </w:p>
        </w:tc>
      </w:tr>
      <w:tr w:rsidR="00177A8D" w:rsidTr="005F4159">
        <w:tc>
          <w:tcPr>
            <w:tcW w:w="9576" w:type="dxa"/>
            <w:tcBorders>
              <w:left w:val="nil"/>
              <w:right w:val="nil"/>
            </w:tcBorders>
          </w:tcPr>
          <w:p w:rsidR="00177A8D" w:rsidRDefault="00177A8D" w:rsidP="005F4159">
            <w:pPr>
              <w:spacing w:line="276" w:lineRule="auto"/>
              <w:rPr>
                <w:u w:val="single"/>
              </w:rPr>
            </w:pPr>
            <w:r>
              <w:rPr>
                <w:u w:val="single"/>
              </w:rPr>
              <w:t>IPSS</w:t>
            </w:r>
          </w:p>
          <w:p w:rsidR="00177A8D" w:rsidRDefault="00177A8D" w:rsidP="005F4159">
            <w:pPr>
              <w:spacing w:line="276" w:lineRule="auto"/>
            </w:pPr>
            <w:r>
              <w:t>Légère (0 – 7)                                     74                             79                                73                            61</w:t>
            </w:r>
          </w:p>
          <w:p w:rsidR="00177A8D" w:rsidRDefault="00177A8D" w:rsidP="005F4159">
            <w:pPr>
              <w:spacing w:line="276" w:lineRule="auto"/>
            </w:pPr>
            <w:r>
              <w:t>Modéré – sévère ≥ 8                 20                             15                                23                            35</w:t>
            </w:r>
          </w:p>
        </w:tc>
      </w:tr>
      <w:tr w:rsidR="00177A8D" w:rsidTr="005F4159">
        <w:tc>
          <w:tcPr>
            <w:tcW w:w="9576" w:type="dxa"/>
            <w:tcBorders>
              <w:left w:val="nil"/>
              <w:right w:val="nil"/>
            </w:tcBorders>
          </w:tcPr>
          <w:p w:rsidR="00177A8D" w:rsidRDefault="00177A8D" w:rsidP="005F4159">
            <w:pPr>
              <w:spacing w:line="276" w:lineRule="auto"/>
              <w:rPr>
                <w:u w:val="single"/>
              </w:rPr>
            </w:pPr>
            <w:r>
              <w:rPr>
                <w:u w:val="single"/>
              </w:rPr>
              <w:t xml:space="preserve">IPSS – QOL </w:t>
            </w:r>
          </w:p>
          <w:p w:rsidR="00177A8D" w:rsidRDefault="00177A8D" w:rsidP="005F4159">
            <w:pPr>
              <w:spacing w:line="276" w:lineRule="auto"/>
            </w:pPr>
            <w:r>
              <w:t>0 – 2 contente et satisfait              81                              84                               80                             70</w:t>
            </w:r>
          </w:p>
          <w:p w:rsidR="00177A8D" w:rsidRDefault="00177A8D" w:rsidP="005F4159">
            <w:pPr>
              <w:spacing w:line="276" w:lineRule="auto"/>
            </w:pPr>
            <w:r>
              <w:t>≥ 3 mélangé terrible                         18                              15                               19                             29</w:t>
            </w:r>
          </w:p>
        </w:tc>
      </w:tr>
      <w:tr w:rsidR="00177A8D" w:rsidTr="005F4159">
        <w:tc>
          <w:tcPr>
            <w:tcW w:w="9576" w:type="dxa"/>
            <w:tcBorders>
              <w:left w:val="nil"/>
              <w:right w:val="nil"/>
            </w:tcBorders>
          </w:tcPr>
          <w:p w:rsidR="00177A8D" w:rsidRDefault="00177A8D" w:rsidP="005F4159">
            <w:pPr>
              <w:spacing w:line="276" w:lineRule="auto"/>
            </w:pPr>
            <w:r>
              <w:t>DRE BPH vs IPSS ≥ 8                     14                               9                                 17                             22</w:t>
            </w:r>
          </w:p>
        </w:tc>
      </w:tr>
      <w:tr w:rsidR="00177A8D" w:rsidTr="005F4159">
        <w:tc>
          <w:tcPr>
            <w:tcW w:w="9576" w:type="dxa"/>
            <w:tcBorders>
              <w:left w:val="nil"/>
              <w:right w:val="nil"/>
            </w:tcBorders>
          </w:tcPr>
          <w:p w:rsidR="00177A8D" w:rsidRDefault="00177A8D" w:rsidP="005F4159">
            <w:pPr>
              <w:spacing w:line="276" w:lineRule="auto"/>
            </w:pPr>
            <w:r>
              <w:t>PSA ≥ 1.5ng/ml ≥ 30cc                36                               25                               43                             58</w:t>
            </w:r>
          </w:p>
        </w:tc>
      </w:tr>
      <w:tr w:rsidR="00177A8D" w:rsidTr="005F4159">
        <w:tc>
          <w:tcPr>
            <w:tcW w:w="9576" w:type="dxa"/>
            <w:tcBorders>
              <w:left w:val="nil"/>
              <w:right w:val="nil"/>
            </w:tcBorders>
          </w:tcPr>
          <w:p w:rsidR="00177A8D" w:rsidRDefault="00177A8D" w:rsidP="005F4159">
            <w:pPr>
              <w:spacing w:line="276" w:lineRule="auto"/>
            </w:pPr>
            <w:r>
              <w:t xml:space="preserve"> prostate imputé vol. ≥              30                               15                               41                             58</w:t>
            </w:r>
          </w:p>
          <w:p w:rsidR="00177A8D" w:rsidRDefault="00177A8D" w:rsidP="005F4159">
            <w:pPr>
              <w:spacing w:line="276" w:lineRule="auto"/>
            </w:pPr>
            <w:r>
              <w:t xml:space="preserve">30cc n = 281 groupe de données </w:t>
            </w:r>
          </w:p>
        </w:tc>
      </w:tr>
    </w:tbl>
    <w:p w:rsidR="00177A8D" w:rsidRDefault="00177A8D" w:rsidP="00177A8D">
      <w:pPr>
        <w:spacing w:after="0" w:line="240" w:lineRule="auto"/>
        <w:rPr>
          <w:rFonts w:eastAsia="Times New Roman" w:cs="Arial"/>
          <w:bCs/>
          <w:color w:val="000000"/>
          <w:sz w:val="24"/>
          <w:szCs w:val="24"/>
        </w:rPr>
      </w:pPr>
    </w:p>
    <w:p w:rsidR="00177A8D" w:rsidRDefault="00177A8D" w:rsidP="00177A8D">
      <w:pPr>
        <w:spacing w:after="0" w:line="240" w:lineRule="auto"/>
        <w:rPr>
          <w:rFonts w:eastAsia="Times New Roman" w:cs="Arial"/>
          <w:b/>
          <w:color w:val="000000"/>
          <w:sz w:val="24"/>
          <w:szCs w:val="24"/>
        </w:rPr>
      </w:pPr>
    </w:p>
    <w:p w:rsidR="00177A8D" w:rsidRDefault="00177A8D" w:rsidP="00177A8D">
      <w:pPr>
        <w:spacing w:after="0" w:line="240" w:lineRule="auto"/>
        <w:rPr>
          <w:rFonts w:eastAsia="Times New Roman" w:cs="Arial"/>
          <w:b/>
          <w:color w:val="000000"/>
          <w:sz w:val="24"/>
          <w:szCs w:val="24"/>
        </w:rPr>
      </w:pPr>
      <w:r>
        <w:rPr>
          <w:rFonts w:eastAsia="Times New Roman" w:cs="Arial"/>
          <w:b/>
          <w:color w:val="000000"/>
          <w:sz w:val="24"/>
          <w:szCs w:val="24"/>
        </w:rPr>
        <w:t xml:space="preserve">Tableau 3       % Prévalence BPH/BPE dans des groupes d’âge varié </w:t>
      </w:r>
      <w:r w:rsidR="00601102" w:rsidRPr="00601102">
        <w:rPr>
          <w:rFonts w:eastAsia="Times New Roman" w:cs="Arial"/>
          <w:b/>
          <w:noProof/>
          <w:color w:val="000000"/>
          <w:sz w:val="24"/>
          <w:szCs w:val="24"/>
        </w:rPr>
      </w:r>
      <w:r w:rsidR="00601102">
        <w:rPr>
          <w:rFonts w:eastAsia="Times New Roman" w:cs="Arial"/>
          <w:b/>
          <w:noProof/>
          <w:color w:val="000000"/>
          <w:sz w:val="24"/>
          <w:szCs w:val="24"/>
        </w:rPr>
        <w:pict>
          <v:rect id="1026" o:spid="_x0000_s1043" style="width:409.5pt;height:184.5pt;visibility:visible;mso-wrap-distance-left:0;mso-wrap-distance-right:0;mso-position-horizontal-relative:char;mso-position-vertical-relative:line" filled="f" stroked="f">
            <v:fill rotate="t"/>
            <v:textbox>
              <w:txbxContent>
                <w:p w:rsidR="00177A8D" w:rsidRDefault="00177A8D" w:rsidP="00177A8D">
                  <w:pPr>
                    <w:pStyle w:val="NormalWeb"/>
                    <w:spacing w:before="115" w:beforeAutospacing="0" w:after="0" w:afterAutospacing="0"/>
                    <w:ind w:left="547" w:hanging="547"/>
                  </w:pPr>
                  <w:r>
                    <w:rPr>
                      <w:rFonts w:ascii="Calibri" w:hAnsi="Calibri" w:cs="SimSun"/>
                      <w:color w:val="000000"/>
                      <w:kern w:val="24"/>
                      <w:sz w:val="48"/>
                      <w:szCs w:val="48"/>
                    </w:rPr>
                    <w:tab/>
                  </w:r>
                  <w:r>
                    <w:rPr>
                      <w:rFonts w:ascii="Calibri" w:hAnsi="Calibri" w:cs="SimSun"/>
                      <w:color w:val="000000"/>
                      <w:kern w:val="24"/>
                      <w:sz w:val="48"/>
                      <w:szCs w:val="48"/>
                    </w:rPr>
                    <w:tab/>
                  </w:r>
                  <w:r>
                    <w:rPr>
                      <w:rFonts w:ascii="Calibri" w:hAnsi="Calibri" w:cs="SimSun"/>
                      <w:color w:val="000000"/>
                      <w:kern w:val="24"/>
                      <w:sz w:val="48"/>
                      <w:szCs w:val="48"/>
                    </w:rPr>
                    <w:tab/>
                  </w:r>
                  <w:r>
                    <w:rPr>
                      <w:rFonts w:ascii="Calibri" w:hAnsi="Calibri" w:cs="SimSun"/>
                      <w:color w:val="000000"/>
                      <w:kern w:val="24"/>
                      <w:sz w:val="48"/>
                      <w:szCs w:val="48"/>
                    </w:rPr>
                    <w:tab/>
                  </w:r>
                  <w:r>
                    <w:rPr>
                      <w:rFonts w:ascii="Calibri" w:hAnsi="Calibri" w:cs="SimSun"/>
                      <w:color w:val="000000"/>
                      <w:kern w:val="24"/>
                      <w:sz w:val="48"/>
                      <w:szCs w:val="48"/>
                    </w:rPr>
                    <w:tab/>
                  </w:r>
                  <w:r>
                    <w:rPr>
                      <w:rFonts w:ascii="Calibri" w:hAnsi="Calibri" w:cs="SimSun"/>
                      <w:color w:val="000000"/>
                      <w:kern w:val="24"/>
                      <w:sz w:val="48"/>
                      <w:szCs w:val="48"/>
                    </w:rPr>
                    <w:tab/>
                  </w:r>
                  <w:r>
                    <w:rPr>
                      <w:rFonts w:ascii="Calibri" w:hAnsi="Calibri" w:cs="SimSun"/>
                      <w:color w:val="000000"/>
                      <w:kern w:val="24"/>
                      <w:u w:val="single"/>
                    </w:rPr>
                    <w:t xml:space="preserve"> Gps d’âge </w:t>
                  </w:r>
                </w:p>
                <w:p w:rsidR="00177A8D" w:rsidRDefault="00177A8D" w:rsidP="00177A8D">
                  <w:pPr>
                    <w:pStyle w:val="NormalWeb"/>
                    <w:spacing w:before="115" w:beforeAutospacing="0" w:after="0" w:afterAutospacing="0"/>
                    <w:ind w:left="547" w:hanging="547"/>
                  </w:pPr>
                  <w:r>
                    <w:rPr>
                      <w:rFonts w:ascii="Calibri" w:hAnsi="Calibri" w:cs="SimSun"/>
                      <w:color w:val="000000"/>
                      <w:kern w:val="24"/>
                    </w:rPr>
                    <w:t>Paramètre</w:t>
                  </w:r>
                  <w:r>
                    <w:rPr>
                      <w:rFonts w:ascii="Calibri" w:hAnsi="Calibri" w:cs="SimSun"/>
                      <w:color w:val="000000"/>
                      <w:kern w:val="24"/>
                    </w:rPr>
                    <w:tab/>
                    <w:t xml:space="preserve">          Tout entiers     </w:t>
                  </w:r>
                  <w:r>
                    <w:rPr>
                      <w:rFonts w:ascii="Calibri" w:hAnsi="Calibri" w:cs="SimSun"/>
                      <w:color w:val="000000"/>
                      <w:kern w:val="24"/>
                      <w:u w:val="single"/>
                    </w:rPr>
                    <w:t>50 – 59     60 – 69       &gt; 70</w:t>
                  </w:r>
                </w:p>
                <w:p w:rsidR="00177A8D" w:rsidRDefault="00177A8D" w:rsidP="00177A8D">
                  <w:pPr>
                    <w:pStyle w:val="ListParagraph"/>
                    <w:numPr>
                      <w:ilvl w:val="0"/>
                      <w:numId w:val="9"/>
                    </w:numPr>
                    <w:spacing w:after="0" w:line="240" w:lineRule="auto"/>
                    <w:rPr>
                      <w:rFonts w:eastAsia="Times New Roman"/>
                      <w:sz w:val="24"/>
                      <w:szCs w:val="24"/>
                    </w:rPr>
                  </w:pPr>
                  <w:r>
                    <w:rPr>
                      <w:color w:val="000000"/>
                      <w:kern w:val="24"/>
                      <w:sz w:val="24"/>
                      <w:szCs w:val="24"/>
                    </w:rPr>
                    <w:t>BPH/BPE</w:t>
                  </w:r>
                  <w:r>
                    <w:rPr>
                      <w:color w:val="000000"/>
                      <w:kern w:val="24"/>
                      <w:sz w:val="24"/>
                      <w:szCs w:val="24"/>
                    </w:rPr>
                    <w:tab/>
                    <w:t xml:space="preserve">                62</w:t>
                  </w:r>
                  <w:r>
                    <w:rPr>
                      <w:color w:val="000000"/>
                      <w:kern w:val="24"/>
                      <w:sz w:val="24"/>
                      <w:szCs w:val="24"/>
                    </w:rPr>
                    <w:tab/>
                    <w:t xml:space="preserve">       59</w:t>
                  </w:r>
                  <w:r>
                    <w:rPr>
                      <w:color w:val="000000"/>
                      <w:kern w:val="24"/>
                      <w:sz w:val="24"/>
                      <w:szCs w:val="24"/>
                    </w:rPr>
                    <w:tab/>
                    <w:t xml:space="preserve">          68  </w:t>
                  </w:r>
                  <w:r>
                    <w:rPr>
                      <w:color w:val="000000"/>
                      <w:kern w:val="24"/>
                      <w:sz w:val="24"/>
                      <w:szCs w:val="24"/>
                    </w:rPr>
                    <w:tab/>
                    <w:t xml:space="preserve">   60</w:t>
                  </w:r>
                </w:p>
                <w:p w:rsidR="00177A8D" w:rsidRDefault="00177A8D" w:rsidP="00177A8D">
                  <w:pPr>
                    <w:pStyle w:val="ListParagraph"/>
                    <w:numPr>
                      <w:ilvl w:val="0"/>
                      <w:numId w:val="9"/>
                    </w:numPr>
                    <w:spacing w:after="0" w:line="240" w:lineRule="auto"/>
                    <w:rPr>
                      <w:rFonts w:eastAsia="Times New Roman"/>
                      <w:sz w:val="24"/>
                      <w:szCs w:val="24"/>
                    </w:rPr>
                  </w:pPr>
                  <w:r>
                    <w:rPr>
                      <w:color w:val="000000"/>
                      <w:kern w:val="24"/>
                      <w:sz w:val="24"/>
                      <w:szCs w:val="24"/>
                    </w:rPr>
                    <w:t xml:space="preserve">IPSS </w:t>
                  </w:r>
                  <w:r>
                    <w:rPr>
                      <w:rFonts w:cs="Arial"/>
                      <w:color w:val="000000"/>
                      <w:kern w:val="24"/>
                      <w:sz w:val="24"/>
                      <w:szCs w:val="24"/>
                    </w:rPr>
                    <w:t>≥ 8</w:t>
                  </w:r>
                  <w:r>
                    <w:rPr>
                      <w:rFonts w:cs="Arial"/>
                      <w:color w:val="000000"/>
                      <w:kern w:val="24"/>
                      <w:sz w:val="24"/>
                      <w:szCs w:val="24"/>
                    </w:rPr>
                    <w:tab/>
                    <w:t xml:space="preserve">                20</w:t>
                  </w:r>
                  <w:r>
                    <w:rPr>
                      <w:rFonts w:cs="Arial"/>
                      <w:color w:val="000000"/>
                      <w:kern w:val="24"/>
                      <w:sz w:val="24"/>
                      <w:szCs w:val="24"/>
                    </w:rPr>
                    <w:tab/>
                    <w:t xml:space="preserve">       15            23               35</w:t>
                  </w:r>
                </w:p>
                <w:p w:rsidR="00177A8D" w:rsidRDefault="00177A8D" w:rsidP="00177A8D">
                  <w:pPr>
                    <w:pStyle w:val="ListParagraph"/>
                    <w:numPr>
                      <w:ilvl w:val="0"/>
                      <w:numId w:val="9"/>
                    </w:numPr>
                    <w:spacing w:after="0" w:line="240" w:lineRule="auto"/>
                    <w:rPr>
                      <w:rFonts w:eastAsia="Times New Roman"/>
                      <w:sz w:val="24"/>
                      <w:szCs w:val="24"/>
                    </w:rPr>
                  </w:pPr>
                  <w:r>
                    <w:rPr>
                      <w:rFonts w:cs="Arial"/>
                      <w:color w:val="000000"/>
                      <w:kern w:val="24"/>
                      <w:sz w:val="24"/>
                      <w:szCs w:val="24"/>
                    </w:rPr>
                    <w:t>PSA ≥ 1.5ng/ml               36             25            43               58</w:t>
                  </w:r>
                </w:p>
                <w:p w:rsidR="00177A8D" w:rsidRDefault="00177A8D" w:rsidP="00177A8D">
                  <w:pPr>
                    <w:pStyle w:val="ListParagraph"/>
                    <w:numPr>
                      <w:ilvl w:val="0"/>
                      <w:numId w:val="9"/>
                    </w:numPr>
                    <w:spacing w:after="0" w:line="240" w:lineRule="auto"/>
                    <w:rPr>
                      <w:rFonts w:eastAsia="Times New Roman"/>
                      <w:sz w:val="24"/>
                      <w:szCs w:val="24"/>
                    </w:rPr>
                  </w:pPr>
                  <w:r>
                    <w:rPr>
                      <w:rFonts w:cs="Arial"/>
                      <w:color w:val="000000"/>
                      <w:kern w:val="24"/>
                      <w:sz w:val="24"/>
                      <w:szCs w:val="24"/>
                    </w:rPr>
                    <w:t xml:space="preserve"> prostate imputé</w:t>
                  </w:r>
                </w:p>
                <w:p w:rsidR="00177A8D" w:rsidRDefault="00177A8D" w:rsidP="00177A8D">
                  <w:pPr>
                    <w:pStyle w:val="NormalWeb"/>
                    <w:spacing w:before="115" w:beforeAutospacing="0" w:after="0" w:afterAutospacing="0"/>
                    <w:ind w:left="547" w:hanging="547"/>
                    <w:rPr>
                      <w:rFonts w:ascii="Calibri" w:hAnsi="Calibri" w:cs="Arial"/>
                      <w:color w:val="000000"/>
                      <w:kern w:val="24"/>
                    </w:rPr>
                  </w:pPr>
                  <w:r>
                    <w:rPr>
                      <w:rFonts w:ascii="Calibri" w:hAnsi="Calibri" w:cs="Arial"/>
                      <w:color w:val="000000"/>
                      <w:kern w:val="24"/>
                      <w:sz w:val="48"/>
                      <w:szCs w:val="48"/>
                    </w:rPr>
                    <w:tab/>
                    <w:t xml:space="preserve">  </w:t>
                  </w:r>
                  <w:r>
                    <w:rPr>
                      <w:rFonts w:ascii="Calibri" w:hAnsi="Calibri" w:cs="Arial"/>
                      <w:color w:val="000000"/>
                      <w:kern w:val="24"/>
                    </w:rPr>
                    <w:t xml:space="preserve">vol. ≥ 30 cc                      30             15            41              58  </w:t>
                  </w:r>
                </w:p>
                <w:p w:rsidR="00177A8D" w:rsidRDefault="00177A8D" w:rsidP="00177A8D">
                  <w:pPr>
                    <w:pStyle w:val="NormalWeb"/>
                    <w:spacing w:before="115" w:beforeAutospacing="0" w:after="0" w:afterAutospacing="0"/>
                    <w:ind w:left="547" w:hanging="547"/>
                    <w:rPr>
                      <w:rFonts w:eastAsia="SimSun"/>
                    </w:rPr>
                  </w:pPr>
                </w:p>
                <w:p w:rsidR="00177A8D" w:rsidRDefault="00177A8D" w:rsidP="00177A8D">
                  <w:pPr>
                    <w:pStyle w:val="NormalWeb"/>
                    <w:spacing w:before="0" w:beforeAutospacing="0" w:after="0" w:afterAutospacing="0"/>
                    <w:ind w:left="547" w:hanging="547"/>
                    <w:rPr>
                      <w:rFonts w:ascii="Calibri" w:hAnsi="Calibri" w:cs="Arial"/>
                      <w:color w:val="000000"/>
                      <w:kern w:val="24"/>
                    </w:rPr>
                  </w:pPr>
                  <w:r>
                    <w:rPr>
                      <w:rFonts w:ascii="Calibri" w:hAnsi="Calibri" w:cs="Arial"/>
                      <w:color w:val="000000"/>
                      <w:kern w:val="24"/>
                    </w:rPr>
                    <w:t xml:space="preserve">Ces résultats ont été ajusté </w:t>
                  </w:r>
                  <w:proofErr w:type="gramStart"/>
                  <w:r>
                    <w:rPr>
                      <w:rFonts w:ascii="Calibri" w:hAnsi="Calibri" w:cs="Arial"/>
                      <w:color w:val="000000"/>
                      <w:kern w:val="24"/>
                    </w:rPr>
                    <w:t>par  2000</w:t>
                  </w:r>
                  <w:proofErr w:type="gramEnd"/>
                  <w:r>
                    <w:rPr>
                      <w:rFonts w:ascii="Calibri" w:hAnsi="Calibri" w:cs="Arial"/>
                      <w:color w:val="000000"/>
                      <w:kern w:val="24"/>
                    </w:rPr>
                    <w:t xml:space="preserve"> de l’ONU d’age de Population    </w:t>
                  </w:r>
                </w:p>
              </w:txbxContent>
            </v:textbox>
            <w10:wrap type="none"/>
            <w10:anchorlock/>
          </v:rect>
        </w:pict>
      </w:r>
    </w:p>
    <w:p w:rsidR="00177A8D" w:rsidRDefault="00177A8D" w:rsidP="00177A8D">
      <w:pPr>
        <w:spacing w:after="0"/>
        <w:rPr>
          <w:sz w:val="24"/>
          <w:szCs w:val="24"/>
        </w:rPr>
      </w:pPr>
    </w:p>
    <w:p w:rsidR="00177A8D" w:rsidRDefault="00177A8D" w:rsidP="00177A8D">
      <w:pPr>
        <w:rPr>
          <w:b/>
          <w:sz w:val="24"/>
          <w:szCs w:val="24"/>
        </w:rPr>
      </w:pPr>
    </w:p>
    <w:p w:rsidR="00177A8D" w:rsidRDefault="00177A8D" w:rsidP="00177A8D">
      <w:pPr>
        <w:rPr>
          <w:b/>
          <w:sz w:val="24"/>
          <w:szCs w:val="24"/>
        </w:rPr>
      </w:pPr>
    </w:p>
    <w:p w:rsidR="00177A8D" w:rsidRDefault="00177A8D" w:rsidP="00177A8D">
      <w:pPr>
        <w:rPr>
          <w:sz w:val="24"/>
          <w:szCs w:val="24"/>
        </w:rPr>
      </w:pPr>
      <w:r>
        <w:rPr>
          <w:b/>
          <w:sz w:val="24"/>
          <w:szCs w:val="24"/>
        </w:rPr>
        <w:t>Tableau 4:</w:t>
      </w:r>
      <w:r>
        <w:rPr>
          <w:b/>
          <w:sz w:val="24"/>
          <w:szCs w:val="24"/>
          <w:vertAlign w:val="superscript"/>
        </w:rPr>
        <w:t xml:space="preserve"> </w:t>
      </w:r>
      <w:r>
        <w:rPr>
          <w:sz w:val="24"/>
          <w:szCs w:val="24"/>
        </w:rPr>
        <w:t xml:space="preserve">   </w:t>
      </w:r>
      <w:proofErr w:type="gramStart"/>
      <w:r>
        <w:rPr>
          <w:sz w:val="24"/>
          <w:szCs w:val="24"/>
        </w:rPr>
        <w:t>Anciens  études</w:t>
      </w:r>
      <w:proofErr w:type="gramEnd"/>
      <w:r>
        <w:rPr>
          <w:sz w:val="24"/>
          <w:szCs w:val="24"/>
        </w:rPr>
        <w:t xml:space="preserve"> basé sur  Population , % Prévalence de BPH/LUTS</w:t>
      </w:r>
    </w:p>
    <w:tbl>
      <w:tblPr>
        <w:tblStyle w:val="LightList-Accent6"/>
        <w:tblW w:w="5000" w:type="pct"/>
        <w:tblLook w:val="0660"/>
      </w:tblPr>
      <w:tblGrid>
        <w:gridCol w:w="2394"/>
        <w:gridCol w:w="2394"/>
        <w:gridCol w:w="2394"/>
        <w:gridCol w:w="2394"/>
      </w:tblGrid>
      <w:tr w:rsidR="00177A8D" w:rsidTr="005F4159">
        <w:trPr>
          <w:cnfStyle w:val="100000000000"/>
        </w:trPr>
        <w:tc>
          <w:tcPr>
            <w:tcW w:w="1250" w:type="pct"/>
            <w:noWrap/>
          </w:tcPr>
          <w:p w:rsidR="00177A8D" w:rsidRDefault="00177A8D" w:rsidP="005F4159">
            <w:r>
              <w:t xml:space="preserve">Étude /Ans </w:t>
            </w:r>
          </w:p>
        </w:tc>
        <w:tc>
          <w:tcPr>
            <w:tcW w:w="1250" w:type="pct"/>
          </w:tcPr>
          <w:p w:rsidR="00177A8D" w:rsidRDefault="00177A8D" w:rsidP="005F4159">
            <w:pPr>
              <w:ind w:left="-234" w:right="252" w:firstLine="234"/>
            </w:pPr>
            <w:r>
              <w:t>Place/Pop/Race</w:t>
            </w:r>
          </w:p>
        </w:tc>
        <w:tc>
          <w:tcPr>
            <w:tcW w:w="1250" w:type="pct"/>
          </w:tcPr>
          <w:p w:rsidR="00177A8D" w:rsidRDefault="00177A8D" w:rsidP="005F4159">
            <w:r>
              <w:t>Paramètre       entiers</w:t>
            </w:r>
          </w:p>
        </w:tc>
        <w:tc>
          <w:tcPr>
            <w:tcW w:w="1250" w:type="pct"/>
          </w:tcPr>
          <w:p w:rsidR="00177A8D" w:rsidRDefault="00177A8D" w:rsidP="005F4159">
            <w:r>
              <w:t xml:space="preserve">  Age GPS selon l'année</w:t>
            </w:r>
          </w:p>
        </w:tc>
      </w:tr>
      <w:tr w:rsidR="00177A8D" w:rsidTr="005F4159">
        <w:trPr>
          <w:gridBefore w:val="3"/>
          <w:wBefore w:w="3750" w:type="pct"/>
          <w:trHeight w:val="244"/>
        </w:trPr>
        <w:tc>
          <w:tcPr>
            <w:tcW w:w="1250" w:type="pct"/>
            <w:vMerge w:val="restart"/>
            <w:tcBorders>
              <w:top w:val="nil"/>
              <w:left w:val="nil"/>
              <w:right w:val="nil"/>
            </w:tcBorders>
          </w:tcPr>
          <w:p w:rsidR="00177A8D" w:rsidRDefault="00177A8D" w:rsidP="005F4159">
            <w:pPr>
              <w:rPr>
                <w:b/>
                <w:sz w:val="20"/>
                <w:szCs w:val="20"/>
                <w:u w:val="single"/>
              </w:rPr>
            </w:pPr>
            <w:r>
              <w:rPr>
                <w:b/>
                <w:sz w:val="20"/>
                <w:szCs w:val="20"/>
                <w:u w:val="single"/>
              </w:rPr>
              <w:t>50-59     60-69     &gt;70</w:t>
            </w:r>
          </w:p>
          <w:p w:rsidR="00177A8D" w:rsidRDefault="00177A8D" w:rsidP="005F4159">
            <w:pPr>
              <w:pStyle w:val="DecimalAligned"/>
              <w:rPr>
                <w:b/>
                <w:sz w:val="20"/>
                <w:szCs w:val="20"/>
                <w:u w:val="single"/>
              </w:rPr>
            </w:pPr>
            <w:r>
              <w:rPr>
                <w:b/>
                <w:sz w:val="20"/>
                <w:szCs w:val="20"/>
              </w:rPr>
              <w:lastRenderedPageBreak/>
              <w:t>42           51          40</w:t>
            </w:r>
          </w:p>
        </w:tc>
      </w:tr>
      <w:tr w:rsidR="00177A8D" w:rsidTr="005F4159">
        <w:tc>
          <w:tcPr>
            <w:tcW w:w="1250" w:type="pct"/>
            <w:tcBorders>
              <w:left w:val="nil"/>
              <w:bottom w:val="single" w:sz="4" w:space="0" w:color="auto"/>
            </w:tcBorders>
            <w:noWrap/>
          </w:tcPr>
          <w:p w:rsidR="00177A8D" w:rsidRDefault="00177A8D" w:rsidP="005F4159">
            <w:pPr>
              <w:rPr>
                <w:b/>
                <w:sz w:val="20"/>
                <w:szCs w:val="20"/>
              </w:rPr>
            </w:pPr>
            <w:r>
              <w:rPr>
                <w:b/>
                <w:sz w:val="20"/>
                <w:szCs w:val="20"/>
              </w:rPr>
              <w:lastRenderedPageBreak/>
              <w:t>Sarma et al 2003</w:t>
            </w:r>
            <w:r>
              <w:rPr>
                <w:b/>
                <w:sz w:val="20"/>
                <w:szCs w:val="20"/>
                <w:vertAlign w:val="superscript"/>
              </w:rPr>
              <w:t>40</w:t>
            </w:r>
          </w:p>
        </w:tc>
        <w:tc>
          <w:tcPr>
            <w:tcW w:w="1250" w:type="pct"/>
            <w:tcBorders>
              <w:bottom w:val="single" w:sz="4" w:space="0" w:color="auto"/>
            </w:tcBorders>
          </w:tcPr>
          <w:p w:rsidR="00177A8D" w:rsidRDefault="00177A8D" w:rsidP="005F4159">
            <w:pPr>
              <w:pStyle w:val="DecimalAligned"/>
              <w:ind w:left="-234" w:right="252" w:firstLine="234"/>
              <w:rPr>
                <w:b/>
                <w:sz w:val="20"/>
                <w:szCs w:val="20"/>
              </w:rPr>
            </w:pPr>
            <w:r>
              <w:rPr>
                <w:b/>
                <w:sz w:val="20"/>
                <w:szCs w:val="20"/>
              </w:rPr>
              <w:t>USA Michigan</w:t>
            </w:r>
          </w:p>
          <w:p w:rsidR="00177A8D" w:rsidRDefault="00177A8D" w:rsidP="005F4159">
            <w:pPr>
              <w:pStyle w:val="DecimalAligned"/>
              <w:ind w:left="-234" w:right="252" w:firstLine="234"/>
              <w:rPr>
                <w:b/>
                <w:sz w:val="20"/>
                <w:szCs w:val="20"/>
              </w:rPr>
            </w:pPr>
            <w:r>
              <w:rPr>
                <w:b/>
                <w:sz w:val="20"/>
                <w:szCs w:val="20"/>
              </w:rPr>
              <w:t xml:space="preserve">369 noirs </w:t>
            </w:r>
          </w:p>
          <w:p w:rsidR="00177A8D" w:rsidRDefault="00177A8D" w:rsidP="005F4159">
            <w:pPr>
              <w:pStyle w:val="DecimalAligned"/>
              <w:ind w:left="-234" w:right="252" w:firstLine="234"/>
              <w:rPr>
                <w:sz w:val="18"/>
                <w:szCs w:val="18"/>
              </w:rPr>
            </w:pPr>
          </w:p>
        </w:tc>
        <w:tc>
          <w:tcPr>
            <w:tcW w:w="1250" w:type="pct"/>
            <w:tcBorders>
              <w:top w:val="nil"/>
              <w:bottom w:val="single" w:sz="4" w:space="0" w:color="auto"/>
            </w:tcBorders>
          </w:tcPr>
          <w:p w:rsidR="00177A8D" w:rsidRDefault="00177A8D" w:rsidP="005F4159">
            <w:pPr>
              <w:pStyle w:val="DecimalAligned"/>
              <w:rPr>
                <w:b/>
                <w:sz w:val="20"/>
                <w:szCs w:val="20"/>
              </w:rPr>
            </w:pPr>
            <w:r>
              <w:rPr>
                <w:b/>
                <w:sz w:val="20"/>
                <w:szCs w:val="20"/>
              </w:rPr>
              <w:t>IPSS ≥8                      45</w:t>
            </w:r>
          </w:p>
        </w:tc>
        <w:tc>
          <w:tcPr>
            <w:tcW w:w="1250" w:type="pct"/>
            <w:vMerge/>
            <w:tcBorders>
              <w:bottom w:val="single" w:sz="4" w:space="0" w:color="auto"/>
              <w:right w:val="nil"/>
            </w:tcBorders>
          </w:tcPr>
          <w:p w:rsidR="00177A8D" w:rsidRDefault="00177A8D" w:rsidP="005F4159">
            <w:pPr>
              <w:pStyle w:val="DecimalAligned"/>
              <w:rPr>
                <w:b/>
                <w:sz w:val="20"/>
                <w:szCs w:val="20"/>
              </w:rPr>
            </w:pPr>
          </w:p>
        </w:tc>
      </w:tr>
      <w:tr w:rsidR="00177A8D" w:rsidTr="005F4159">
        <w:trPr>
          <w:trHeight w:val="225"/>
        </w:trPr>
        <w:tc>
          <w:tcPr>
            <w:tcW w:w="1250" w:type="pct"/>
            <w:tcBorders>
              <w:top w:val="single" w:sz="4" w:space="0" w:color="auto"/>
              <w:left w:val="nil"/>
              <w:bottom w:val="single" w:sz="4" w:space="0" w:color="auto"/>
            </w:tcBorders>
            <w:noWrap/>
          </w:tcPr>
          <w:p w:rsidR="00177A8D" w:rsidRDefault="00177A8D" w:rsidP="005F4159">
            <w:pPr>
              <w:rPr>
                <w:sz w:val="20"/>
                <w:szCs w:val="20"/>
              </w:rPr>
            </w:pPr>
            <w:r>
              <w:rPr>
                <w:rFonts w:cs="Arial"/>
                <w:b/>
                <w:bCs/>
                <w:color w:val="000000"/>
                <w:kern w:val="24"/>
                <w:sz w:val="20"/>
                <w:szCs w:val="20"/>
              </w:rPr>
              <w:lastRenderedPageBreak/>
              <w:t>Guess et al 1990</w:t>
            </w:r>
            <w:r>
              <w:rPr>
                <w:rFonts w:cs="Arial"/>
                <w:b/>
                <w:bCs/>
                <w:color w:val="000000"/>
                <w:kern w:val="24"/>
                <w:sz w:val="20"/>
                <w:szCs w:val="20"/>
                <w:vertAlign w:val="superscript"/>
              </w:rPr>
              <w:t>36</w:t>
            </w:r>
          </w:p>
        </w:tc>
        <w:tc>
          <w:tcPr>
            <w:tcW w:w="1250" w:type="pct"/>
            <w:tcBorders>
              <w:top w:val="single" w:sz="4" w:space="0" w:color="auto"/>
              <w:bottom w:val="single" w:sz="4" w:space="0" w:color="auto"/>
            </w:tcBorders>
          </w:tcPr>
          <w:p w:rsidR="00177A8D" w:rsidRDefault="00177A8D" w:rsidP="005F4159">
            <w:pPr>
              <w:pStyle w:val="DecimalAligned"/>
              <w:ind w:left="-234" w:right="252" w:firstLine="234"/>
              <w:rPr>
                <w:rFonts w:cs="Arial"/>
                <w:b/>
                <w:bCs/>
                <w:color w:val="000000"/>
                <w:kern w:val="24"/>
                <w:sz w:val="20"/>
                <w:szCs w:val="20"/>
              </w:rPr>
            </w:pPr>
            <w:r>
              <w:rPr>
                <w:rFonts w:cs="Arial"/>
                <w:b/>
                <w:bCs/>
                <w:color w:val="000000"/>
                <w:kern w:val="24"/>
                <w:sz w:val="20"/>
                <w:szCs w:val="20"/>
              </w:rPr>
              <w:t>Baltimore états unis</w:t>
            </w:r>
          </w:p>
          <w:p w:rsidR="00177A8D" w:rsidRDefault="00177A8D" w:rsidP="005F4159">
            <w:pPr>
              <w:pStyle w:val="DecimalAligned"/>
              <w:ind w:left="-234" w:right="252" w:firstLine="234"/>
              <w:rPr>
                <w:rFonts w:cs="Arial"/>
                <w:b/>
                <w:bCs/>
                <w:color w:val="000000"/>
                <w:kern w:val="24"/>
                <w:sz w:val="20"/>
                <w:szCs w:val="20"/>
              </w:rPr>
            </w:pPr>
            <w:r>
              <w:rPr>
                <w:rFonts w:cs="Arial"/>
                <w:b/>
                <w:bCs/>
                <w:color w:val="000000"/>
                <w:kern w:val="24"/>
                <w:sz w:val="20"/>
                <w:szCs w:val="20"/>
              </w:rPr>
              <w:t>Races 1057 hommes</w:t>
            </w:r>
          </w:p>
          <w:p w:rsidR="00177A8D" w:rsidRDefault="00177A8D" w:rsidP="005F4159">
            <w:pPr>
              <w:pStyle w:val="DecimalAligned"/>
              <w:ind w:left="-234" w:right="252" w:firstLine="234"/>
              <w:rPr>
                <w:sz w:val="18"/>
                <w:szCs w:val="18"/>
              </w:rPr>
            </w:pPr>
          </w:p>
        </w:tc>
        <w:tc>
          <w:tcPr>
            <w:tcW w:w="1250" w:type="pct"/>
            <w:tcBorders>
              <w:top w:val="single" w:sz="4" w:space="0" w:color="auto"/>
              <w:bottom w:val="single" w:sz="4" w:space="0" w:color="auto"/>
            </w:tcBorders>
          </w:tcPr>
          <w:p w:rsidR="00177A8D" w:rsidRDefault="00177A8D" w:rsidP="005F4159">
            <w:pPr>
              <w:pStyle w:val="DecimalAligned"/>
              <w:rPr>
                <w:b/>
                <w:sz w:val="18"/>
                <w:szCs w:val="18"/>
              </w:rPr>
            </w:pPr>
            <w:r>
              <w:rPr>
                <w:rFonts w:cs="Arial"/>
                <w:b/>
                <w:bCs/>
                <w:color w:val="000000"/>
                <w:kern w:val="24"/>
                <w:sz w:val="20"/>
                <w:szCs w:val="20"/>
              </w:rPr>
              <w:t>DRE/BPE                   36</w:t>
            </w:r>
          </w:p>
        </w:tc>
        <w:tc>
          <w:tcPr>
            <w:tcW w:w="1250" w:type="pct"/>
            <w:tcBorders>
              <w:top w:val="single" w:sz="4" w:space="0" w:color="auto"/>
              <w:bottom w:val="single" w:sz="4" w:space="0" w:color="auto"/>
              <w:right w:val="nil"/>
            </w:tcBorders>
          </w:tcPr>
          <w:p w:rsidR="00177A8D" w:rsidRDefault="00177A8D" w:rsidP="005F4159">
            <w:pPr>
              <w:pStyle w:val="DecimalAligned"/>
              <w:rPr>
                <w:b/>
                <w:sz w:val="20"/>
                <w:szCs w:val="20"/>
              </w:rPr>
            </w:pPr>
            <w:r>
              <w:rPr>
                <w:b/>
                <w:sz w:val="20"/>
                <w:szCs w:val="20"/>
              </w:rPr>
              <w:t>27           45          52</w:t>
            </w:r>
          </w:p>
        </w:tc>
      </w:tr>
      <w:tr w:rsidR="00177A8D" w:rsidTr="005F4159">
        <w:trPr>
          <w:trHeight w:val="15"/>
        </w:trPr>
        <w:tc>
          <w:tcPr>
            <w:tcW w:w="1250" w:type="pct"/>
            <w:tcBorders>
              <w:top w:val="single" w:sz="4" w:space="0" w:color="auto"/>
              <w:left w:val="nil"/>
            </w:tcBorders>
            <w:noWrap/>
          </w:tcPr>
          <w:p w:rsidR="00177A8D" w:rsidRDefault="00177A8D" w:rsidP="005F4159">
            <w:pPr>
              <w:rPr>
                <w:sz w:val="20"/>
                <w:szCs w:val="20"/>
              </w:rPr>
            </w:pPr>
          </w:p>
        </w:tc>
        <w:tc>
          <w:tcPr>
            <w:tcW w:w="1250" w:type="pct"/>
            <w:tcBorders>
              <w:top w:val="single" w:sz="4" w:space="0" w:color="auto"/>
            </w:tcBorders>
          </w:tcPr>
          <w:p w:rsidR="00177A8D" w:rsidRDefault="00177A8D" w:rsidP="005F4159">
            <w:pPr>
              <w:pStyle w:val="DecimalAligned"/>
              <w:ind w:left="-234" w:right="252" w:firstLine="234"/>
              <w:rPr>
                <w:sz w:val="18"/>
                <w:szCs w:val="18"/>
              </w:rPr>
            </w:pPr>
          </w:p>
        </w:tc>
        <w:tc>
          <w:tcPr>
            <w:tcW w:w="1250" w:type="pct"/>
            <w:tcBorders>
              <w:top w:val="single" w:sz="4" w:space="0" w:color="auto"/>
            </w:tcBorders>
          </w:tcPr>
          <w:p w:rsidR="00177A8D" w:rsidRDefault="00177A8D" w:rsidP="005F4159">
            <w:pPr>
              <w:pStyle w:val="DecimalAligned"/>
              <w:rPr>
                <w:sz w:val="18"/>
                <w:szCs w:val="18"/>
              </w:rPr>
            </w:pPr>
          </w:p>
        </w:tc>
        <w:tc>
          <w:tcPr>
            <w:tcW w:w="1250" w:type="pct"/>
            <w:vMerge w:val="restart"/>
            <w:tcBorders>
              <w:top w:val="single" w:sz="4" w:space="0" w:color="auto"/>
              <w:right w:val="nil"/>
            </w:tcBorders>
          </w:tcPr>
          <w:p w:rsidR="00177A8D" w:rsidRDefault="00177A8D" w:rsidP="005F4159">
            <w:pPr>
              <w:pStyle w:val="DecimalAligned"/>
              <w:rPr>
                <w:b/>
                <w:sz w:val="20"/>
                <w:szCs w:val="20"/>
              </w:rPr>
            </w:pPr>
          </w:p>
          <w:p w:rsidR="00177A8D" w:rsidRDefault="00177A8D" w:rsidP="005F4159">
            <w:pPr>
              <w:pStyle w:val="DecimalAligned"/>
              <w:rPr>
                <w:b/>
                <w:sz w:val="20"/>
                <w:szCs w:val="20"/>
              </w:rPr>
            </w:pPr>
            <w:r>
              <w:rPr>
                <w:b/>
                <w:sz w:val="20"/>
                <w:szCs w:val="20"/>
              </w:rPr>
              <w:t>29           38          41</w:t>
            </w:r>
          </w:p>
          <w:p w:rsidR="00177A8D" w:rsidRDefault="00177A8D" w:rsidP="005F4159">
            <w:pPr>
              <w:pStyle w:val="DecimalAligned"/>
              <w:rPr>
                <w:sz w:val="18"/>
                <w:szCs w:val="18"/>
              </w:rPr>
            </w:pPr>
          </w:p>
        </w:tc>
      </w:tr>
      <w:tr w:rsidR="00177A8D" w:rsidTr="005F4159">
        <w:tc>
          <w:tcPr>
            <w:tcW w:w="1250" w:type="pct"/>
            <w:tcBorders>
              <w:left w:val="nil"/>
              <w:bottom w:val="single" w:sz="4" w:space="0" w:color="auto"/>
            </w:tcBorders>
            <w:noWrap/>
          </w:tcPr>
          <w:p w:rsidR="00177A8D" w:rsidRDefault="00177A8D" w:rsidP="005F4159">
            <w:pPr>
              <w:rPr>
                <w:sz w:val="20"/>
                <w:szCs w:val="20"/>
              </w:rPr>
            </w:pPr>
            <w:r>
              <w:rPr>
                <w:rFonts w:cs="Arial"/>
                <w:b/>
                <w:bCs/>
                <w:color w:val="000000"/>
                <w:kern w:val="24"/>
                <w:sz w:val="20"/>
                <w:szCs w:val="20"/>
              </w:rPr>
              <w:t>Truemann et al 1999</w:t>
            </w:r>
          </w:p>
        </w:tc>
        <w:tc>
          <w:tcPr>
            <w:tcW w:w="1250" w:type="pct"/>
            <w:tcBorders>
              <w:bottom w:val="single" w:sz="4" w:space="0" w:color="auto"/>
            </w:tcBorders>
          </w:tcPr>
          <w:p w:rsidR="00177A8D" w:rsidRDefault="00177A8D" w:rsidP="005F4159">
            <w:pPr>
              <w:pStyle w:val="DecimalAligned"/>
              <w:ind w:left="-234" w:right="252" w:firstLine="234"/>
              <w:rPr>
                <w:b/>
                <w:sz w:val="20"/>
                <w:szCs w:val="20"/>
              </w:rPr>
            </w:pPr>
            <w:r>
              <w:rPr>
                <w:b/>
                <w:sz w:val="20"/>
                <w:szCs w:val="20"/>
              </w:rPr>
              <w:t>Royaume Uni1115 hommes</w:t>
            </w:r>
          </w:p>
        </w:tc>
        <w:tc>
          <w:tcPr>
            <w:tcW w:w="1250" w:type="pct"/>
            <w:tcBorders>
              <w:bottom w:val="single" w:sz="4" w:space="0" w:color="auto"/>
            </w:tcBorders>
          </w:tcPr>
          <w:p w:rsidR="00177A8D" w:rsidRDefault="00177A8D" w:rsidP="005F4159">
            <w:pPr>
              <w:pStyle w:val="DecimalAligned"/>
              <w:rPr>
                <w:b/>
                <w:sz w:val="20"/>
                <w:szCs w:val="20"/>
              </w:rPr>
            </w:pPr>
            <w:r>
              <w:rPr>
                <w:b/>
                <w:sz w:val="20"/>
                <w:szCs w:val="20"/>
              </w:rPr>
              <w:t>IPSS ≥8                      37</w:t>
            </w:r>
          </w:p>
        </w:tc>
        <w:tc>
          <w:tcPr>
            <w:tcW w:w="1250" w:type="pct"/>
            <w:vMerge/>
            <w:tcBorders>
              <w:bottom w:val="single" w:sz="4" w:space="0" w:color="auto"/>
              <w:right w:val="nil"/>
            </w:tcBorders>
          </w:tcPr>
          <w:p w:rsidR="00177A8D" w:rsidRDefault="00177A8D" w:rsidP="005F4159">
            <w:pPr>
              <w:pStyle w:val="DecimalAligned"/>
              <w:rPr>
                <w:b/>
                <w:sz w:val="20"/>
                <w:szCs w:val="20"/>
              </w:rPr>
            </w:pPr>
          </w:p>
        </w:tc>
      </w:tr>
      <w:tr w:rsidR="00177A8D" w:rsidTr="005F4159">
        <w:tc>
          <w:tcPr>
            <w:tcW w:w="1250" w:type="pct"/>
            <w:tcBorders>
              <w:left w:val="nil"/>
              <w:bottom w:val="single" w:sz="4" w:space="0" w:color="auto"/>
            </w:tcBorders>
            <w:noWrap/>
          </w:tcPr>
          <w:p w:rsidR="00177A8D" w:rsidRDefault="00177A8D" w:rsidP="005F4159">
            <w:pPr>
              <w:rPr>
                <w:rFonts w:cs="Arial"/>
                <w:b/>
                <w:bCs/>
                <w:color w:val="000000"/>
                <w:kern w:val="24"/>
                <w:sz w:val="20"/>
                <w:szCs w:val="20"/>
              </w:rPr>
            </w:pPr>
            <w:r>
              <w:rPr>
                <w:rFonts w:cs="Arial"/>
                <w:b/>
                <w:bCs/>
                <w:color w:val="000000"/>
                <w:kern w:val="24"/>
                <w:sz w:val="20"/>
                <w:szCs w:val="20"/>
              </w:rPr>
              <w:t>Rosen et al  2003</w:t>
            </w:r>
          </w:p>
        </w:tc>
        <w:tc>
          <w:tcPr>
            <w:tcW w:w="1250" w:type="pct"/>
            <w:tcBorders>
              <w:bottom w:val="single" w:sz="4" w:space="0" w:color="auto"/>
            </w:tcBorders>
          </w:tcPr>
          <w:p w:rsidR="00177A8D" w:rsidRDefault="00177A8D" w:rsidP="005F4159">
            <w:pPr>
              <w:pStyle w:val="DecimalAligned"/>
              <w:ind w:left="-234" w:right="252" w:firstLine="234"/>
              <w:rPr>
                <w:rFonts w:cs="Arial"/>
                <w:b/>
                <w:bCs/>
                <w:color w:val="000000"/>
                <w:kern w:val="24"/>
                <w:sz w:val="20"/>
                <w:szCs w:val="20"/>
              </w:rPr>
            </w:pPr>
            <w:r>
              <w:rPr>
                <w:rFonts w:cs="Arial"/>
                <w:b/>
                <w:bCs/>
                <w:color w:val="000000"/>
                <w:kern w:val="24"/>
                <w:sz w:val="20"/>
                <w:szCs w:val="20"/>
              </w:rPr>
              <w:t xml:space="preserve">Europe Multinational </w:t>
            </w:r>
          </w:p>
          <w:p w:rsidR="00177A8D" w:rsidRDefault="00177A8D" w:rsidP="005F4159">
            <w:pPr>
              <w:pStyle w:val="DecimalAligned"/>
              <w:ind w:left="-234" w:right="252"/>
              <w:rPr>
                <w:rFonts w:cs="Arial"/>
                <w:b/>
                <w:bCs/>
                <w:color w:val="000000"/>
                <w:kern w:val="24"/>
                <w:sz w:val="20"/>
                <w:szCs w:val="20"/>
              </w:rPr>
            </w:pPr>
            <w:r>
              <w:rPr>
                <w:rFonts w:cs="Arial"/>
                <w:b/>
                <w:bCs/>
                <w:color w:val="000000"/>
                <w:kern w:val="24"/>
                <w:sz w:val="20"/>
                <w:szCs w:val="20"/>
              </w:rPr>
              <w:t xml:space="preserve">   États Unis 12,815 </w:t>
            </w:r>
          </w:p>
          <w:p w:rsidR="00177A8D" w:rsidRDefault="00177A8D" w:rsidP="005F4159">
            <w:pPr>
              <w:pStyle w:val="DecimalAligned"/>
              <w:ind w:left="-234" w:right="252"/>
              <w:rPr>
                <w:b/>
                <w:sz w:val="20"/>
                <w:szCs w:val="20"/>
              </w:rPr>
            </w:pPr>
            <w:r>
              <w:rPr>
                <w:rFonts w:cs="Arial"/>
                <w:b/>
                <w:bCs/>
                <w:color w:val="000000"/>
                <w:kern w:val="24"/>
                <w:sz w:val="20"/>
                <w:szCs w:val="20"/>
              </w:rPr>
              <w:t xml:space="preserve">   Hommes</w:t>
            </w:r>
          </w:p>
        </w:tc>
        <w:tc>
          <w:tcPr>
            <w:tcW w:w="1250" w:type="pct"/>
            <w:tcBorders>
              <w:bottom w:val="single" w:sz="4" w:space="0" w:color="auto"/>
            </w:tcBorders>
          </w:tcPr>
          <w:p w:rsidR="00177A8D" w:rsidRDefault="00177A8D" w:rsidP="005F4159">
            <w:pPr>
              <w:pStyle w:val="DecimalAligned"/>
              <w:rPr>
                <w:b/>
                <w:sz w:val="20"/>
                <w:szCs w:val="20"/>
              </w:rPr>
            </w:pPr>
            <w:r>
              <w:rPr>
                <w:b/>
                <w:sz w:val="20"/>
                <w:szCs w:val="20"/>
              </w:rPr>
              <w:t>IPSS ≥8                      29</w:t>
            </w:r>
          </w:p>
        </w:tc>
        <w:tc>
          <w:tcPr>
            <w:tcW w:w="1250" w:type="pct"/>
            <w:tcBorders>
              <w:bottom w:val="single" w:sz="4" w:space="0" w:color="auto"/>
              <w:right w:val="nil"/>
            </w:tcBorders>
          </w:tcPr>
          <w:p w:rsidR="00177A8D" w:rsidRDefault="00177A8D" w:rsidP="005F4159">
            <w:pPr>
              <w:pStyle w:val="DecimalAligned"/>
              <w:rPr>
                <w:b/>
                <w:sz w:val="20"/>
                <w:szCs w:val="20"/>
              </w:rPr>
            </w:pPr>
            <w:r>
              <w:rPr>
                <w:b/>
                <w:sz w:val="20"/>
                <w:szCs w:val="20"/>
              </w:rPr>
              <w:t>22           33          45</w:t>
            </w:r>
          </w:p>
        </w:tc>
      </w:tr>
      <w:tr w:rsidR="00177A8D" w:rsidTr="005F4159">
        <w:trPr>
          <w:trHeight w:val="225"/>
        </w:trPr>
        <w:tc>
          <w:tcPr>
            <w:tcW w:w="1250" w:type="pct"/>
            <w:tcBorders>
              <w:top w:val="single" w:sz="4" w:space="0" w:color="auto"/>
              <w:left w:val="nil"/>
              <w:bottom w:val="single" w:sz="4" w:space="0" w:color="auto"/>
            </w:tcBorders>
            <w:noWrap/>
          </w:tcPr>
          <w:p w:rsidR="00177A8D" w:rsidRDefault="00177A8D" w:rsidP="005F4159">
            <w:pPr>
              <w:rPr>
                <w:sz w:val="20"/>
                <w:szCs w:val="20"/>
              </w:rPr>
            </w:pPr>
            <w:r>
              <w:rPr>
                <w:rFonts w:cs="Arial"/>
                <w:b/>
                <w:bCs/>
                <w:color w:val="000000"/>
                <w:kern w:val="24"/>
                <w:sz w:val="20"/>
                <w:szCs w:val="20"/>
              </w:rPr>
              <w:t>Nashlund et al 2007</w:t>
            </w:r>
          </w:p>
        </w:tc>
        <w:tc>
          <w:tcPr>
            <w:tcW w:w="1250" w:type="pct"/>
            <w:tcBorders>
              <w:top w:val="single" w:sz="4" w:space="0" w:color="auto"/>
              <w:bottom w:val="single" w:sz="4" w:space="0" w:color="auto"/>
            </w:tcBorders>
          </w:tcPr>
          <w:p w:rsidR="00177A8D" w:rsidRDefault="00177A8D" w:rsidP="005F4159">
            <w:pPr>
              <w:pStyle w:val="DecimalAligned"/>
              <w:ind w:left="-234" w:right="252" w:firstLine="234"/>
              <w:rPr>
                <w:b/>
                <w:sz w:val="20"/>
                <w:szCs w:val="20"/>
              </w:rPr>
            </w:pPr>
            <w:r>
              <w:rPr>
                <w:rFonts w:cs="Arial"/>
                <w:b/>
                <w:bCs/>
                <w:color w:val="000000"/>
                <w:kern w:val="24"/>
                <w:sz w:val="20"/>
                <w:szCs w:val="20"/>
              </w:rPr>
              <w:t>Etats unis , tout les races                   444 hommes</w:t>
            </w:r>
          </w:p>
        </w:tc>
        <w:tc>
          <w:tcPr>
            <w:tcW w:w="1250" w:type="pct"/>
            <w:tcBorders>
              <w:top w:val="single" w:sz="4" w:space="0" w:color="auto"/>
              <w:bottom w:val="single" w:sz="4" w:space="0" w:color="auto"/>
            </w:tcBorders>
          </w:tcPr>
          <w:p w:rsidR="00177A8D" w:rsidRDefault="00177A8D" w:rsidP="005F4159">
            <w:pPr>
              <w:pStyle w:val="DecimalAligned"/>
              <w:rPr>
                <w:b/>
                <w:sz w:val="20"/>
                <w:szCs w:val="20"/>
              </w:rPr>
            </w:pPr>
            <w:r>
              <w:rPr>
                <w:b/>
                <w:sz w:val="20"/>
                <w:szCs w:val="20"/>
              </w:rPr>
              <w:t>IPSS ≥8                      41</w:t>
            </w:r>
          </w:p>
          <w:p w:rsidR="00177A8D" w:rsidRDefault="00177A8D" w:rsidP="005F4159">
            <w:pPr>
              <w:pStyle w:val="NormalWeb"/>
              <w:spacing w:before="58" w:beforeAutospacing="0" w:after="0" w:afterAutospacing="0"/>
              <w:textAlignment w:val="baseline"/>
              <w:rPr>
                <w:rFonts w:ascii="Calibri" w:hAnsi="Calibri" w:cs="Arial"/>
                <w:color w:val="000000"/>
                <w:sz w:val="20"/>
                <w:szCs w:val="20"/>
              </w:rPr>
            </w:pPr>
            <w:r>
              <w:rPr>
                <w:rFonts w:ascii="Calibri" w:hAnsi="Calibri" w:cs="Arial"/>
                <w:b/>
                <w:bCs/>
                <w:color w:val="000000"/>
                <w:kern w:val="24"/>
                <w:sz w:val="20"/>
                <w:szCs w:val="20"/>
              </w:rPr>
              <w:t xml:space="preserve">DRE/BPE ≥ 30cc      42                       </w:t>
            </w:r>
          </w:p>
          <w:p w:rsidR="00177A8D" w:rsidRDefault="00177A8D" w:rsidP="005F4159">
            <w:pPr>
              <w:pStyle w:val="DecimalAligned"/>
              <w:rPr>
                <w:rFonts w:cs="Arial"/>
                <w:b/>
                <w:bCs/>
                <w:color w:val="000000"/>
                <w:kern w:val="24"/>
                <w:sz w:val="20"/>
                <w:szCs w:val="20"/>
              </w:rPr>
            </w:pPr>
            <w:r>
              <w:rPr>
                <w:rFonts w:cs="Arial"/>
                <w:b/>
                <w:bCs/>
                <w:color w:val="000000"/>
                <w:kern w:val="24"/>
                <w:sz w:val="20"/>
                <w:szCs w:val="20"/>
              </w:rPr>
              <w:t>PSA &gt;1.5ng/ml        36</w:t>
            </w:r>
          </w:p>
          <w:p w:rsidR="00177A8D" w:rsidRDefault="00177A8D" w:rsidP="005F4159">
            <w:pPr>
              <w:pStyle w:val="DecimalAligned"/>
              <w:rPr>
                <w:b/>
                <w:sz w:val="20"/>
                <w:szCs w:val="20"/>
              </w:rPr>
            </w:pPr>
            <w:r>
              <w:rPr>
                <w:rFonts w:cs="Arial"/>
                <w:b/>
                <w:bCs/>
                <w:color w:val="000000"/>
                <w:kern w:val="24"/>
                <w:sz w:val="20"/>
                <w:szCs w:val="20"/>
              </w:rPr>
              <w:t>≥ 30cc</w:t>
            </w:r>
            <w:r>
              <w:rPr>
                <w:b/>
                <w:sz w:val="20"/>
                <w:szCs w:val="20"/>
              </w:rPr>
              <w:t xml:space="preserve">            </w:t>
            </w:r>
          </w:p>
        </w:tc>
        <w:tc>
          <w:tcPr>
            <w:tcW w:w="1250" w:type="pct"/>
            <w:tcBorders>
              <w:top w:val="single" w:sz="4" w:space="0" w:color="auto"/>
              <w:bottom w:val="single" w:sz="4" w:space="0" w:color="auto"/>
              <w:right w:val="nil"/>
            </w:tcBorders>
          </w:tcPr>
          <w:p w:rsidR="00177A8D" w:rsidRDefault="00177A8D" w:rsidP="005F4159">
            <w:pPr>
              <w:pStyle w:val="DecimalAligned"/>
              <w:rPr>
                <w:b/>
                <w:sz w:val="20"/>
                <w:szCs w:val="20"/>
              </w:rPr>
            </w:pPr>
            <w:r>
              <w:rPr>
                <w:b/>
                <w:sz w:val="20"/>
                <w:szCs w:val="20"/>
              </w:rPr>
              <w:t>33            50          46</w:t>
            </w:r>
          </w:p>
          <w:p w:rsidR="00177A8D" w:rsidRDefault="00177A8D" w:rsidP="005F4159">
            <w:pPr>
              <w:pStyle w:val="DecimalAligned"/>
              <w:rPr>
                <w:b/>
                <w:sz w:val="20"/>
                <w:szCs w:val="20"/>
              </w:rPr>
            </w:pPr>
            <w:r>
              <w:rPr>
                <w:b/>
                <w:sz w:val="20"/>
                <w:szCs w:val="20"/>
              </w:rPr>
              <w:t>32            50          63</w:t>
            </w:r>
          </w:p>
          <w:p w:rsidR="00177A8D" w:rsidRDefault="00177A8D" w:rsidP="005F4159">
            <w:pPr>
              <w:pStyle w:val="DecimalAligned"/>
              <w:rPr>
                <w:b/>
                <w:sz w:val="20"/>
                <w:szCs w:val="20"/>
              </w:rPr>
            </w:pPr>
            <w:r>
              <w:rPr>
                <w:b/>
                <w:sz w:val="20"/>
                <w:szCs w:val="20"/>
              </w:rPr>
              <w:t>24            46          61</w:t>
            </w:r>
          </w:p>
        </w:tc>
      </w:tr>
      <w:tr w:rsidR="00177A8D" w:rsidTr="005F4159">
        <w:trPr>
          <w:cnfStyle w:val="010000000000"/>
          <w:trHeight w:val="1115"/>
        </w:trPr>
        <w:tc>
          <w:tcPr>
            <w:tcW w:w="1250" w:type="pct"/>
            <w:tcBorders>
              <w:top w:val="single" w:sz="4" w:space="0" w:color="auto"/>
              <w:left w:val="nil"/>
            </w:tcBorders>
            <w:noWrap/>
          </w:tcPr>
          <w:p w:rsidR="00177A8D" w:rsidRDefault="00177A8D" w:rsidP="005F4159">
            <w:pPr>
              <w:rPr>
                <w:rFonts w:cs="Arial"/>
                <w:color w:val="000000"/>
                <w:kern w:val="24"/>
                <w:sz w:val="20"/>
                <w:szCs w:val="20"/>
              </w:rPr>
            </w:pPr>
            <w:r>
              <w:rPr>
                <w:rFonts w:cs="Arial"/>
                <w:bCs w:val="0"/>
                <w:color w:val="000000"/>
                <w:kern w:val="24"/>
                <w:sz w:val="20"/>
                <w:szCs w:val="20"/>
              </w:rPr>
              <w:t>Chokkalingham</w:t>
            </w:r>
          </w:p>
          <w:p w:rsidR="00177A8D" w:rsidRDefault="00177A8D" w:rsidP="005F4159">
            <w:pPr>
              <w:rPr>
                <w:rFonts w:cs="Arial"/>
                <w:color w:val="000000"/>
                <w:kern w:val="24"/>
                <w:sz w:val="20"/>
                <w:szCs w:val="20"/>
              </w:rPr>
            </w:pPr>
            <w:r>
              <w:rPr>
                <w:rFonts w:cs="Arial"/>
                <w:bCs w:val="0"/>
                <w:color w:val="000000"/>
                <w:kern w:val="24"/>
                <w:sz w:val="20"/>
                <w:szCs w:val="20"/>
              </w:rPr>
              <w:t xml:space="preserve">GPHS UGMS/NCI/NIH </w:t>
            </w:r>
          </w:p>
          <w:p w:rsidR="00177A8D" w:rsidRDefault="00177A8D" w:rsidP="005F4159">
            <w:pPr>
              <w:rPr>
                <w:sz w:val="20"/>
                <w:szCs w:val="20"/>
              </w:rPr>
            </w:pPr>
          </w:p>
        </w:tc>
        <w:tc>
          <w:tcPr>
            <w:tcW w:w="1250" w:type="pct"/>
            <w:tcBorders>
              <w:top w:val="single" w:sz="4" w:space="0" w:color="auto"/>
            </w:tcBorders>
          </w:tcPr>
          <w:p w:rsidR="00177A8D" w:rsidRDefault="00177A8D" w:rsidP="005F4159">
            <w:pPr>
              <w:pStyle w:val="DecimalAligned"/>
              <w:ind w:left="-234" w:right="252" w:firstLine="234"/>
              <w:rPr>
                <w:rFonts w:cs="Arial"/>
                <w:color w:val="000000"/>
                <w:kern w:val="24"/>
                <w:sz w:val="20"/>
                <w:szCs w:val="20"/>
              </w:rPr>
            </w:pPr>
            <w:r>
              <w:rPr>
                <w:rFonts w:cs="Arial"/>
                <w:bCs w:val="0"/>
                <w:color w:val="000000"/>
                <w:kern w:val="24"/>
                <w:sz w:val="20"/>
                <w:szCs w:val="20"/>
              </w:rPr>
              <w:t xml:space="preserve">Ghaneens </w:t>
            </w:r>
          </w:p>
          <w:p w:rsidR="00177A8D" w:rsidRDefault="00177A8D" w:rsidP="005F4159">
            <w:pPr>
              <w:pStyle w:val="DecimalAligned"/>
              <w:ind w:left="-234" w:right="252" w:firstLine="234"/>
              <w:rPr>
                <w:sz w:val="20"/>
                <w:szCs w:val="20"/>
              </w:rPr>
            </w:pPr>
            <w:r>
              <w:rPr>
                <w:rFonts w:cs="Arial"/>
                <w:bCs w:val="0"/>
                <w:color w:val="000000"/>
                <w:kern w:val="24"/>
                <w:sz w:val="20"/>
                <w:szCs w:val="20"/>
              </w:rPr>
              <w:t>950 hommes</w:t>
            </w:r>
          </w:p>
        </w:tc>
        <w:tc>
          <w:tcPr>
            <w:tcW w:w="1250" w:type="pct"/>
            <w:tcBorders>
              <w:top w:val="single" w:sz="4" w:space="0" w:color="auto"/>
            </w:tcBorders>
          </w:tcPr>
          <w:p w:rsidR="00177A8D" w:rsidRDefault="00177A8D" w:rsidP="005F4159">
            <w:pPr>
              <w:pStyle w:val="DecimalAligned"/>
              <w:rPr>
                <w:sz w:val="20"/>
                <w:szCs w:val="20"/>
              </w:rPr>
            </w:pPr>
            <w:r>
              <w:rPr>
                <w:sz w:val="20"/>
                <w:szCs w:val="20"/>
              </w:rPr>
              <w:t>IPSS ≥8                     20</w:t>
            </w:r>
          </w:p>
          <w:p w:rsidR="00177A8D" w:rsidRDefault="00177A8D" w:rsidP="005F4159">
            <w:pPr>
              <w:pStyle w:val="NormalWeb"/>
              <w:spacing w:before="58" w:beforeAutospacing="0" w:after="0" w:afterAutospacing="0"/>
              <w:textAlignment w:val="baseline"/>
              <w:rPr>
                <w:rFonts w:ascii="Calibri" w:hAnsi="Calibri" w:cs="Arial"/>
                <w:color w:val="000000"/>
                <w:sz w:val="20"/>
                <w:szCs w:val="20"/>
              </w:rPr>
            </w:pPr>
            <w:r>
              <w:rPr>
                <w:rFonts w:ascii="Calibri" w:hAnsi="Calibri" w:cs="Arial"/>
                <w:bCs w:val="0"/>
                <w:color w:val="000000"/>
                <w:kern w:val="24"/>
                <w:sz w:val="20"/>
                <w:szCs w:val="20"/>
              </w:rPr>
              <w:t>DRE/BPE ≥ 30cc     62</w:t>
            </w:r>
          </w:p>
          <w:p w:rsidR="00177A8D" w:rsidRDefault="00177A8D" w:rsidP="005F4159">
            <w:pPr>
              <w:pStyle w:val="DecimalAligned"/>
              <w:rPr>
                <w:rFonts w:cs="Arial"/>
                <w:color w:val="000000"/>
                <w:kern w:val="24"/>
                <w:sz w:val="20"/>
                <w:szCs w:val="20"/>
              </w:rPr>
            </w:pPr>
            <w:r>
              <w:rPr>
                <w:rFonts w:cs="Arial"/>
                <w:bCs w:val="0"/>
                <w:color w:val="000000"/>
                <w:kern w:val="24"/>
                <w:sz w:val="20"/>
                <w:szCs w:val="20"/>
              </w:rPr>
              <w:t>PSA &gt;1.5ng/ml       36</w:t>
            </w:r>
          </w:p>
          <w:p w:rsidR="00177A8D" w:rsidRDefault="00177A8D" w:rsidP="005F4159">
            <w:pPr>
              <w:pStyle w:val="DecimalAligned"/>
              <w:rPr>
                <w:sz w:val="20"/>
                <w:szCs w:val="20"/>
              </w:rPr>
            </w:pPr>
            <w:r>
              <w:rPr>
                <w:rFonts w:cs="Arial"/>
                <w:bCs w:val="0"/>
                <w:color w:val="000000"/>
                <w:kern w:val="24"/>
                <w:sz w:val="20"/>
                <w:szCs w:val="20"/>
              </w:rPr>
              <w:t xml:space="preserve"> ≥ 30cc</w:t>
            </w:r>
            <w:r>
              <w:rPr>
                <w:sz w:val="20"/>
                <w:szCs w:val="20"/>
              </w:rPr>
              <w:t xml:space="preserve">           </w:t>
            </w:r>
          </w:p>
        </w:tc>
        <w:tc>
          <w:tcPr>
            <w:tcW w:w="1250" w:type="pct"/>
            <w:tcBorders>
              <w:top w:val="single" w:sz="4" w:space="0" w:color="auto"/>
              <w:right w:val="nil"/>
            </w:tcBorders>
          </w:tcPr>
          <w:p w:rsidR="00177A8D" w:rsidRDefault="00177A8D" w:rsidP="005F4159">
            <w:pPr>
              <w:pStyle w:val="DecimalAligned"/>
              <w:rPr>
                <w:sz w:val="20"/>
                <w:szCs w:val="20"/>
              </w:rPr>
            </w:pPr>
            <w:r>
              <w:rPr>
                <w:sz w:val="20"/>
                <w:szCs w:val="20"/>
              </w:rPr>
              <w:t>15           23          35</w:t>
            </w:r>
          </w:p>
          <w:p w:rsidR="00177A8D" w:rsidRDefault="00177A8D" w:rsidP="005F4159">
            <w:pPr>
              <w:pStyle w:val="DecimalAligned"/>
              <w:rPr>
                <w:sz w:val="20"/>
                <w:szCs w:val="20"/>
              </w:rPr>
            </w:pPr>
            <w:r>
              <w:rPr>
                <w:sz w:val="20"/>
                <w:szCs w:val="20"/>
              </w:rPr>
              <w:t>59           68          60</w:t>
            </w:r>
          </w:p>
          <w:p w:rsidR="00177A8D" w:rsidRDefault="00177A8D" w:rsidP="005F4159">
            <w:pPr>
              <w:pStyle w:val="DecimalAligned"/>
              <w:rPr>
                <w:sz w:val="20"/>
                <w:szCs w:val="20"/>
              </w:rPr>
            </w:pPr>
            <w:r>
              <w:rPr>
                <w:sz w:val="20"/>
                <w:szCs w:val="20"/>
              </w:rPr>
              <w:t>25           43          58</w:t>
            </w:r>
          </w:p>
        </w:tc>
      </w:tr>
    </w:tbl>
    <w:p w:rsidR="00177A8D" w:rsidRDefault="00177A8D" w:rsidP="00177A8D">
      <w:pPr>
        <w:rPr>
          <w:sz w:val="20"/>
          <w:szCs w:val="20"/>
        </w:rPr>
      </w:pPr>
    </w:p>
    <w:p w:rsidR="00177A8D" w:rsidRDefault="00177A8D" w:rsidP="00177A8D">
      <w:pPr>
        <w:spacing w:after="0"/>
        <w:rPr>
          <w:b/>
          <w:bCs/>
        </w:rPr>
      </w:pPr>
    </w:p>
    <w:p w:rsidR="00177A8D" w:rsidRDefault="00177A8D" w:rsidP="00177A8D">
      <w:pPr>
        <w:spacing w:after="0"/>
        <w:rPr>
          <w:b/>
          <w:bCs/>
          <w:sz w:val="24"/>
          <w:szCs w:val="24"/>
        </w:rPr>
      </w:pPr>
    </w:p>
    <w:p w:rsidR="00177A8D" w:rsidRDefault="00177A8D" w:rsidP="00177A8D">
      <w:pPr>
        <w:spacing w:after="0"/>
        <w:rPr>
          <w:bCs/>
          <w:sz w:val="24"/>
          <w:szCs w:val="24"/>
        </w:rPr>
      </w:pPr>
      <w:r>
        <w:rPr>
          <w:b/>
          <w:bCs/>
          <w:sz w:val="24"/>
          <w:szCs w:val="24"/>
        </w:rPr>
        <w:t>Tableau 5</w:t>
      </w:r>
      <w:r>
        <w:rPr>
          <w:bCs/>
          <w:sz w:val="24"/>
          <w:szCs w:val="24"/>
        </w:rPr>
        <w:t xml:space="preserve">   RESUME DE L’ AGGRESSIVITE DE CP CHEZ LES DESCENDANT DE L’AFRIQUE</w:t>
      </w:r>
    </w:p>
    <w:tbl>
      <w:tblPr>
        <w:tblW w:w="0" w:type="auto"/>
        <w:tblInd w:w="153" w:type="dxa"/>
        <w:tblBorders>
          <w:top w:val="single" w:sz="4" w:space="0" w:color="auto"/>
        </w:tblBorders>
        <w:tblLook w:val="0000"/>
      </w:tblPr>
      <w:tblGrid>
        <w:gridCol w:w="8640"/>
      </w:tblGrid>
      <w:tr w:rsidR="00177A8D" w:rsidTr="005F4159">
        <w:trPr>
          <w:trHeight w:val="315"/>
        </w:trPr>
        <w:tc>
          <w:tcPr>
            <w:tcW w:w="8640" w:type="dxa"/>
            <w:tcBorders>
              <w:bottom w:val="single" w:sz="4" w:space="0" w:color="auto"/>
            </w:tcBorders>
            <w:shd w:val="clear" w:color="auto" w:fill="auto"/>
          </w:tcPr>
          <w:p w:rsidR="00177A8D" w:rsidRDefault="00177A8D" w:rsidP="005F4159">
            <w:pPr>
              <w:spacing w:after="0"/>
              <w:rPr>
                <w:b/>
              </w:rPr>
            </w:pPr>
            <w:r>
              <w:rPr>
                <w:b/>
              </w:rPr>
              <w:t xml:space="preserve">REGION           Moyen Age            Médian PSA ng/ml             Médian GS           Tumeur Etape à                      </w:t>
            </w:r>
          </w:p>
          <w:p w:rsidR="00177A8D" w:rsidRDefault="00177A8D" w:rsidP="005F4159">
            <w:pPr>
              <w:spacing w:after="0"/>
            </w:pPr>
            <w:r>
              <w:rPr>
                <w:b/>
              </w:rPr>
              <w:t xml:space="preserve">                             ans                                                                                                présentation</w:t>
            </w:r>
          </w:p>
        </w:tc>
      </w:tr>
      <w:tr w:rsidR="00177A8D" w:rsidTr="005F4159">
        <w:trPr>
          <w:trHeight w:val="180"/>
        </w:trPr>
        <w:tc>
          <w:tcPr>
            <w:tcW w:w="8640" w:type="dxa"/>
            <w:tcBorders>
              <w:top w:val="single" w:sz="4" w:space="0" w:color="auto"/>
              <w:bottom w:val="single" w:sz="4" w:space="0" w:color="auto"/>
            </w:tcBorders>
          </w:tcPr>
          <w:p w:rsidR="00177A8D" w:rsidRDefault="00177A8D" w:rsidP="005F4159">
            <w:r>
              <w:t xml:space="preserve">AFRIQUE                   69                         59(R0.5 – 14,390)              ≥7                      ↑T3 – T4 </w:t>
            </w:r>
          </w:p>
        </w:tc>
      </w:tr>
      <w:tr w:rsidR="00177A8D" w:rsidTr="005F4159">
        <w:trPr>
          <w:trHeight w:val="180"/>
        </w:trPr>
        <w:tc>
          <w:tcPr>
            <w:tcW w:w="8640" w:type="dxa"/>
            <w:tcBorders>
              <w:top w:val="single" w:sz="4" w:space="0" w:color="auto"/>
              <w:bottom w:val="single" w:sz="4" w:space="0" w:color="auto"/>
            </w:tcBorders>
          </w:tcPr>
          <w:p w:rsidR="00177A8D" w:rsidRDefault="00177A8D" w:rsidP="005F4159">
            <w:r>
              <w:t xml:space="preserve">CARAÏBE             72                             32                                    ≥7                      </w:t>
            </w:r>
            <w:r>
              <w:rPr>
                <w:sz w:val="24"/>
                <w:szCs w:val="24"/>
              </w:rPr>
              <w:t>↑T3 – T4</w:t>
            </w:r>
          </w:p>
        </w:tc>
      </w:tr>
      <w:tr w:rsidR="00177A8D" w:rsidTr="005F4159">
        <w:trPr>
          <w:trHeight w:val="180"/>
        </w:trPr>
        <w:tc>
          <w:tcPr>
            <w:tcW w:w="8640" w:type="dxa"/>
            <w:tcBorders>
              <w:top w:val="single" w:sz="4" w:space="0" w:color="auto"/>
              <w:bottom w:val="single" w:sz="4" w:space="0" w:color="auto"/>
            </w:tcBorders>
          </w:tcPr>
          <w:p w:rsidR="00177A8D" w:rsidRDefault="00177A8D" w:rsidP="005F4159">
            <w:r>
              <w:t xml:space="preserve">LES NOIRS DE ROYAUME UNI              71                            107                                   ≥6                      </w:t>
            </w:r>
            <w:r>
              <w:rPr>
                <w:sz w:val="24"/>
                <w:szCs w:val="24"/>
              </w:rPr>
              <w:t>↑T3 – T4</w:t>
            </w:r>
          </w:p>
        </w:tc>
      </w:tr>
      <w:tr w:rsidR="00177A8D" w:rsidTr="005F4159">
        <w:trPr>
          <w:trHeight w:val="180"/>
        </w:trPr>
        <w:tc>
          <w:tcPr>
            <w:tcW w:w="8640" w:type="dxa"/>
            <w:tcBorders>
              <w:top w:val="single" w:sz="4" w:space="0" w:color="auto"/>
              <w:bottom w:val="single" w:sz="4" w:space="0" w:color="auto"/>
            </w:tcBorders>
          </w:tcPr>
          <w:p w:rsidR="00177A8D" w:rsidRDefault="00177A8D" w:rsidP="005F4159">
            <w:pPr>
              <w:spacing w:after="0"/>
            </w:pPr>
            <w:r>
              <w:t xml:space="preserve"> AFRO-        69                              7                                     ≥7                      </w:t>
            </w:r>
            <w:r>
              <w:rPr>
                <w:sz w:val="24"/>
                <w:szCs w:val="24"/>
              </w:rPr>
              <w:t>↑T1 – T2</w:t>
            </w:r>
          </w:p>
          <w:p w:rsidR="00177A8D" w:rsidRDefault="00177A8D" w:rsidP="005F4159">
            <w:pPr>
              <w:spacing w:after="0"/>
            </w:pPr>
            <w:r>
              <w:t>AMERICAINS</w:t>
            </w:r>
          </w:p>
        </w:tc>
      </w:tr>
      <w:tr w:rsidR="00177A8D" w:rsidTr="005F4159">
        <w:trPr>
          <w:trHeight w:val="180"/>
        </w:trPr>
        <w:tc>
          <w:tcPr>
            <w:tcW w:w="8640" w:type="dxa"/>
            <w:tcBorders>
              <w:top w:val="single" w:sz="4" w:space="0" w:color="auto"/>
              <w:bottom w:val="single" w:sz="4" w:space="0" w:color="auto"/>
            </w:tcBorders>
          </w:tcPr>
          <w:p w:rsidR="00177A8D" w:rsidRDefault="00177A8D" w:rsidP="005F4159">
            <w:pPr>
              <w:spacing w:after="0"/>
            </w:pPr>
            <w:r>
              <w:rPr>
                <w:sz w:val="24"/>
                <w:szCs w:val="24"/>
              </w:rPr>
              <w:t>Les limitations en trouvant la vraie image de la populations avec la haute mortalité – Aucun dépistage PSA pour la prévalence de population.Aucun donnée d ’ autopsie, l’absence de registres pertinent cancer Rebbeck</w:t>
            </w:r>
          </w:p>
        </w:tc>
      </w:tr>
    </w:tbl>
    <w:p w:rsidR="00177A8D" w:rsidRDefault="00177A8D" w:rsidP="00177A8D"/>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
          <w:bCs/>
          <w:i/>
          <w:sz w:val="24"/>
          <w:szCs w:val="24"/>
          <w:u w:val="single"/>
        </w:rPr>
      </w:pPr>
    </w:p>
    <w:p w:rsidR="00177A8D" w:rsidRDefault="00177A8D" w:rsidP="00177A8D">
      <w:pPr>
        <w:spacing w:after="0"/>
        <w:rPr>
          <w:bCs/>
          <w:i/>
          <w:sz w:val="24"/>
          <w:szCs w:val="24"/>
          <w:u w:val="single"/>
        </w:rPr>
      </w:pPr>
      <w:r>
        <w:rPr>
          <w:bCs/>
          <w:i/>
          <w:sz w:val="24"/>
          <w:szCs w:val="24"/>
          <w:u w:val="single"/>
        </w:rPr>
        <w:t xml:space="preserve">Le changement de méthode de causes de retention d’urine (ROU) à Accra 4412 des </w:t>
      </w:r>
      <w:proofErr w:type="gramStart"/>
      <w:r>
        <w:rPr>
          <w:bCs/>
          <w:i/>
          <w:sz w:val="24"/>
          <w:szCs w:val="24"/>
          <w:u w:val="single"/>
        </w:rPr>
        <w:t>cas</w:t>
      </w:r>
      <w:proofErr w:type="gramEnd"/>
      <w:r>
        <w:rPr>
          <w:bCs/>
          <w:i/>
          <w:sz w:val="24"/>
          <w:szCs w:val="24"/>
          <w:u w:val="single"/>
        </w:rPr>
        <w:t xml:space="preserve"> consécutives (1972-1998).</w:t>
      </w:r>
    </w:p>
    <w:p w:rsidR="00177A8D" w:rsidRDefault="00177A8D" w:rsidP="00177A8D">
      <w:pPr>
        <w:spacing w:after="0" w:line="240" w:lineRule="auto"/>
        <w:rPr>
          <w:rFonts w:eastAsia="Times New Roman" w:cs="Arial"/>
          <w:b/>
          <w:color w:val="000000"/>
          <w:sz w:val="24"/>
          <w:szCs w:val="24"/>
        </w:rPr>
      </w:pPr>
      <w:r>
        <w:rPr>
          <w:rFonts w:eastAsia="Times New Roman" w:cs="Arial"/>
          <w:b/>
          <w:color w:val="000000"/>
          <w:sz w:val="24"/>
          <w:szCs w:val="24"/>
        </w:rPr>
        <w:t>Fig 1</w:t>
      </w:r>
    </w:p>
    <w:p w:rsidR="00177A8D" w:rsidRDefault="00601102" w:rsidP="00177A8D">
      <w:pPr>
        <w:tabs>
          <w:tab w:val="left" w:pos="6270"/>
        </w:tabs>
        <w:spacing w:line="360" w:lineRule="auto"/>
        <w:rPr>
          <w:b/>
          <w:bCs/>
        </w:rPr>
      </w:pPr>
      <w:r w:rsidRPr="00601102">
        <w:rPr>
          <w:noProof/>
        </w:rPr>
        <w:pict>
          <v:shape id="1029" o:spid="_x0000_s1040" type="#_x0000_t202" style="position:absolute;margin-left:-9pt;margin-top:198pt;width:81pt;height:36pt;z-index:251680768;visibility:visible;mso-wrap-distance-left:0;mso-wrap-distance-right:0">
            <v:textbox>
              <w:txbxContent>
                <w:p w:rsidR="00177A8D" w:rsidRDefault="00177A8D" w:rsidP="00177A8D">
                  <w:r>
                    <w:rPr>
                      <w:sz w:val="20"/>
                      <w:szCs w:val="20"/>
                    </w:rPr>
                    <w:t>Common cause                   in period:</w:t>
                  </w:r>
                </w:p>
              </w:txbxContent>
            </v:textbox>
          </v:shape>
        </w:pict>
      </w:r>
      <w:r w:rsidRPr="00601102">
        <w:rPr>
          <w:noProof/>
        </w:rPr>
        <w:pict>
          <v:shape id="1030" o:spid="_x0000_s1039" type="#_x0000_t202" style="position:absolute;margin-left:261pt;margin-top:207pt;width:39pt;height:18pt;z-index:251679744;visibility:visible;mso-wrap-distance-left:0;mso-wrap-distance-right:0">
            <v:textbox>
              <w:txbxContent>
                <w:p w:rsidR="00177A8D" w:rsidRDefault="00177A8D" w:rsidP="00177A8D">
                  <w:r>
                    <w:rPr>
                      <w:sz w:val="20"/>
                      <w:szCs w:val="20"/>
                    </w:rPr>
                    <w:t>BPH</w:t>
                  </w:r>
                  <w:r>
                    <w:t xml:space="preserve"> </w:t>
                  </w:r>
                </w:p>
              </w:txbxContent>
            </v:textbox>
          </v:shape>
        </w:pict>
      </w:r>
      <w:r w:rsidRPr="00601102">
        <w:rPr>
          <w:noProof/>
        </w:rPr>
        <w:pict>
          <v:shape id="1031" o:spid="_x0000_s1038" type="#_x0000_t202" style="position:absolute;margin-left:180pt;margin-top:207pt;width:39pt;height:18pt;z-index:251678720;visibility:visible;mso-wrap-distance-left:0;mso-wrap-distance-right:0">
            <v:textbox>
              <w:txbxContent>
                <w:p w:rsidR="00177A8D" w:rsidRDefault="00177A8D" w:rsidP="00177A8D">
                  <w:r>
                    <w:rPr>
                      <w:sz w:val="20"/>
                      <w:szCs w:val="20"/>
                    </w:rPr>
                    <w:t>BPH</w:t>
                  </w:r>
                  <w:r>
                    <w:t xml:space="preserve"> </w:t>
                  </w:r>
                </w:p>
              </w:txbxContent>
            </v:textbox>
          </v:shape>
        </w:pict>
      </w:r>
      <w:r w:rsidRPr="00601102">
        <w:rPr>
          <w:noProof/>
        </w:rPr>
        <w:pict>
          <v:shape id="1032" o:spid="_x0000_s1037" type="#_x0000_t202" style="position:absolute;margin-left:1in;margin-top:207pt;width:90pt;height:18pt;z-index:251677696;visibility:visible;mso-wrap-distance-left:0;mso-wrap-distance-right:0">
            <v:textbox>
              <w:txbxContent>
                <w:p w:rsidR="00177A8D" w:rsidRDefault="00177A8D" w:rsidP="00177A8D">
                  <w:r>
                    <w:rPr>
                      <w:sz w:val="20"/>
                      <w:szCs w:val="20"/>
                    </w:rPr>
                    <w:t>Urethral stricture</w:t>
                  </w:r>
                </w:p>
              </w:txbxContent>
            </v:textbox>
          </v:shape>
        </w:pict>
      </w:r>
      <w:r w:rsidR="00177A8D">
        <w:t xml:space="preserve">   </w:t>
      </w:r>
      <w:r w:rsidR="00177A8D">
        <w:rPr>
          <w:noProof/>
          <w:lang w:val="en-GB" w:eastAsia="en-GB"/>
        </w:rPr>
        <w:drawing>
          <wp:inline distT="0" distB="0" distL="0" distR="0">
            <wp:extent cx="4800600" cy="2733675"/>
            <wp:effectExtent l="0" t="0" r="0" b="0"/>
            <wp:docPr id="103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7" cstate="print"/>
                    <a:srcRect/>
                    <a:stretch/>
                  </pic:blipFill>
                  <pic:spPr>
                    <a:xfrm>
                      <a:off x="0" y="0"/>
                      <a:ext cx="4800600" cy="2733675"/>
                    </a:xfrm>
                    <a:prstGeom prst="rect">
                      <a:avLst/>
                    </a:prstGeom>
                    <a:ln>
                      <a:noFill/>
                    </a:ln>
                  </pic:spPr>
                </pic:pic>
              </a:graphicData>
            </a:graphic>
          </wp:inline>
        </w:drawing>
      </w:r>
    </w:p>
    <w:p w:rsidR="00177A8D" w:rsidRDefault="00177A8D" w:rsidP="00177A8D">
      <w:pPr>
        <w:tabs>
          <w:tab w:val="left" w:pos="6270"/>
        </w:tabs>
        <w:spacing w:after="0" w:line="240" w:lineRule="auto"/>
      </w:pPr>
    </w:p>
    <w:p w:rsidR="00177A8D" w:rsidRDefault="00177A8D" w:rsidP="00177A8D">
      <w:pPr>
        <w:tabs>
          <w:tab w:val="left" w:pos="6270"/>
        </w:tabs>
        <w:spacing w:after="0" w:line="240" w:lineRule="auto"/>
      </w:pPr>
      <w:r>
        <w:lastRenderedPageBreak/>
        <w:t xml:space="preserve">F, </w:t>
      </w:r>
      <w:proofErr w:type="gramStart"/>
      <w:r>
        <w:t>8 ,</w:t>
      </w:r>
      <w:proofErr w:type="gramEnd"/>
      <w:r>
        <w:t xml:space="preserve"> moyen âge,   F 14 , moyen âge</w:t>
      </w:r>
    </w:p>
    <w:p w:rsidR="00177A8D" w:rsidRDefault="00177A8D" w:rsidP="00177A8D">
      <w:pPr>
        <w:tabs>
          <w:tab w:val="left" w:pos="6270"/>
        </w:tabs>
        <w:spacing w:after="0" w:line="240" w:lineRule="auto"/>
      </w:pPr>
      <w:r>
        <w:t xml:space="preserve">Common </w:t>
      </w:r>
      <w:proofErr w:type="gramStart"/>
      <w:r>
        <w:t>cause :</w:t>
      </w:r>
      <w:proofErr w:type="gramEnd"/>
      <w:r>
        <w:t xml:space="preserve"> Cause commune. </w:t>
      </w:r>
    </w:p>
    <w:p w:rsidR="00177A8D" w:rsidRDefault="00177A8D" w:rsidP="00177A8D">
      <w:pPr>
        <w:tabs>
          <w:tab w:val="left" w:pos="6270"/>
        </w:tabs>
        <w:spacing w:after="0" w:line="240" w:lineRule="auto"/>
      </w:pPr>
      <w:r>
        <w:t>Urethral               : Urètre</w:t>
      </w:r>
    </w:p>
    <w:p w:rsidR="00177A8D" w:rsidRDefault="00177A8D" w:rsidP="00177A8D">
      <w:pPr>
        <w:tabs>
          <w:tab w:val="left" w:pos="6270"/>
        </w:tabs>
        <w:spacing w:after="0" w:line="240" w:lineRule="auto"/>
      </w:pPr>
      <w:r>
        <w:t xml:space="preserve">No of cases        : Nombre de </w:t>
      </w:r>
      <w:proofErr w:type="gramStart"/>
      <w:r>
        <w:t>cas</w:t>
      </w:r>
      <w:proofErr w:type="gramEnd"/>
    </w:p>
    <w:p w:rsidR="00177A8D" w:rsidRDefault="00177A8D" w:rsidP="00177A8D">
      <w:pPr>
        <w:tabs>
          <w:tab w:val="left" w:pos="6270"/>
        </w:tabs>
        <w:spacing w:after="0" w:line="240" w:lineRule="auto"/>
      </w:pPr>
    </w:p>
    <w:p w:rsidR="00177A8D" w:rsidRDefault="00177A8D" w:rsidP="00177A8D">
      <w:pPr>
        <w:pStyle w:val="ListParagraph"/>
        <w:spacing w:after="0" w:line="240" w:lineRule="auto"/>
        <w:ind w:left="360"/>
        <w:rPr>
          <w:rFonts w:eastAsia="Times New Roman" w:cs="Arial"/>
          <w:b/>
          <w:color w:val="000000"/>
          <w:sz w:val="24"/>
          <w:szCs w:val="24"/>
        </w:rPr>
      </w:pPr>
      <w:r>
        <w:rPr>
          <w:rFonts w:eastAsia="Times New Roman" w:cs="Arial"/>
          <w:b/>
          <w:color w:val="000000"/>
          <w:sz w:val="24"/>
          <w:szCs w:val="24"/>
        </w:rPr>
        <w:t>Les acronymes américain - stricture urètre, BPH - bénigne prostatique hyperplasie / élargissement (BPE), CaP - prostate cancer</w:t>
      </w:r>
      <w:proofErr w:type="gramStart"/>
      <w:r>
        <w:rPr>
          <w:rFonts w:eastAsia="Times New Roman" w:cs="Arial"/>
          <w:b/>
          <w:color w:val="000000"/>
          <w:sz w:val="24"/>
          <w:szCs w:val="24"/>
        </w:rPr>
        <w:t>,  RU</w:t>
      </w:r>
      <w:proofErr w:type="gramEnd"/>
      <w:r>
        <w:rPr>
          <w:rFonts w:eastAsia="Times New Roman" w:cs="Arial"/>
          <w:b/>
          <w:color w:val="000000"/>
          <w:sz w:val="24"/>
          <w:szCs w:val="24"/>
        </w:rPr>
        <w:t xml:space="preserve"> - Rupture urètre</w:t>
      </w:r>
    </w:p>
    <w:p w:rsidR="00177A8D" w:rsidRDefault="00177A8D" w:rsidP="00177A8D">
      <w:pPr>
        <w:spacing w:after="0" w:line="240" w:lineRule="auto"/>
        <w:rPr>
          <w:rFonts w:eastAsia="Times New Roman" w:cs="Arial"/>
          <w:b/>
          <w:color w:val="000000"/>
          <w:sz w:val="24"/>
          <w:szCs w:val="24"/>
        </w:rPr>
      </w:pPr>
    </w:p>
    <w:p w:rsidR="00177A8D" w:rsidRDefault="00177A8D" w:rsidP="00177A8D">
      <w:pPr>
        <w:spacing w:after="0" w:line="240" w:lineRule="auto"/>
        <w:rPr>
          <w:rFonts w:eastAsia="Times New Roman" w:cs="Arial"/>
          <w:b/>
          <w:color w:val="000000"/>
          <w:sz w:val="24"/>
          <w:szCs w:val="24"/>
        </w:rPr>
      </w:pPr>
    </w:p>
    <w:p w:rsidR="00177A8D" w:rsidRDefault="00177A8D" w:rsidP="00177A8D">
      <w:pPr>
        <w:spacing w:after="0" w:line="240" w:lineRule="auto"/>
        <w:rPr>
          <w:rFonts w:eastAsia="Times New Roman" w:cs="Arial"/>
          <w:b/>
          <w:color w:val="000000"/>
          <w:sz w:val="24"/>
          <w:szCs w:val="24"/>
        </w:rPr>
      </w:pPr>
    </w:p>
    <w:p w:rsidR="00177A8D" w:rsidRDefault="00177A8D" w:rsidP="00177A8D">
      <w:pPr>
        <w:spacing w:after="0" w:line="240" w:lineRule="auto"/>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pStyle w:val="ListParagraph"/>
        <w:spacing w:after="0" w:line="240" w:lineRule="auto"/>
        <w:ind w:left="360"/>
        <w:rPr>
          <w:rFonts w:eastAsia="Times New Roman" w:cs="Arial"/>
          <w:color w:val="000000"/>
          <w:sz w:val="24"/>
          <w:szCs w:val="24"/>
        </w:rPr>
      </w:pPr>
      <w:r>
        <w:rPr>
          <w:rFonts w:eastAsia="Times New Roman" w:cs="Arial"/>
          <w:b/>
          <w:color w:val="000000"/>
          <w:sz w:val="24"/>
          <w:szCs w:val="24"/>
        </w:rPr>
        <w:t>Fig 2</w:t>
      </w:r>
      <w:r>
        <w:rPr>
          <w:rFonts w:eastAsia="Times New Roman" w:cs="Arial"/>
          <w:color w:val="000000"/>
          <w:sz w:val="24"/>
          <w:szCs w:val="24"/>
        </w:rPr>
        <w:t>:</w:t>
      </w:r>
      <w:r>
        <w:rPr>
          <w:rFonts w:eastAsia="Times New Roman" w:cs="Arial"/>
          <w:color w:val="000000"/>
          <w:sz w:val="24"/>
          <w:szCs w:val="24"/>
          <w:vertAlign w:val="superscript"/>
        </w:rPr>
        <w:t xml:space="preserve">   </w:t>
      </w:r>
      <w:r>
        <w:rPr>
          <w:rFonts w:eastAsia="Times New Roman" w:cs="Arial"/>
          <w:b/>
          <w:color w:val="000000"/>
          <w:sz w:val="24"/>
          <w:szCs w:val="24"/>
        </w:rPr>
        <w:t xml:space="preserve"> Les causes d’ haematurie à Accra, Ghana</w:t>
      </w:r>
    </w:p>
    <w:p w:rsidR="00177A8D" w:rsidRDefault="00177A8D" w:rsidP="00177A8D">
      <w:pPr>
        <w:spacing w:after="0" w:line="240" w:lineRule="auto"/>
        <w:rPr>
          <w:rFonts w:eastAsia="Times New Roman" w:cs="Arial"/>
          <w:b/>
          <w:bCs/>
          <w:color w:val="000000"/>
          <w:sz w:val="24"/>
          <w:szCs w:val="24"/>
        </w:rPr>
      </w:pPr>
      <w:r>
        <w:rPr>
          <w:noProof/>
          <w:lang w:val="en-GB" w:eastAsia="en-GB"/>
        </w:rPr>
        <w:drawing>
          <wp:inline distT="0" distB="0" distL="114300" distR="114300">
            <wp:extent cx="4495800" cy="222885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7A8D" w:rsidRDefault="00177A8D" w:rsidP="00177A8D">
      <w:pPr>
        <w:spacing w:after="0" w:line="240" w:lineRule="auto"/>
        <w:rPr>
          <w:rFonts w:eastAsia="Times New Roman" w:cs="Arial"/>
          <w:bCs/>
          <w:color w:val="000000"/>
          <w:sz w:val="24"/>
          <w:szCs w:val="24"/>
        </w:rPr>
      </w:pPr>
      <w:r>
        <w:rPr>
          <w:rFonts w:eastAsia="Times New Roman" w:cs="Arial"/>
          <w:bCs/>
          <w:color w:val="000000"/>
          <w:sz w:val="24"/>
          <w:szCs w:val="24"/>
        </w:rPr>
        <w:t xml:space="preserve">VS = Vesical schistosomiasis, UTI – Infection de tract urinaire </w:t>
      </w:r>
    </w:p>
    <w:p w:rsidR="00177A8D" w:rsidRDefault="00177A8D" w:rsidP="00177A8D">
      <w:pPr>
        <w:spacing w:after="0" w:line="240" w:lineRule="auto"/>
        <w:rPr>
          <w:rFonts w:eastAsia="Times New Roman" w:cs="Arial"/>
          <w:bCs/>
          <w:color w:val="000000"/>
          <w:sz w:val="24"/>
          <w:szCs w:val="24"/>
        </w:rPr>
      </w:pPr>
      <w:r>
        <w:rPr>
          <w:rFonts w:eastAsia="Times New Roman" w:cs="Arial"/>
          <w:bCs/>
          <w:color w:val="000000"/>
          <w:sz w:val="24"/>
          <w:szCs w:val="24"/>
        </w:rPr>
        <w:t>KID = Affection des reines, INJ – Injury GU Tract</w:t>
      </w:r>
    </w:p>
    <w:p w:rsidR="00177A8D" w:rsidRDefault="00177A8D" w:rsidP="00177A8D">
      <w:pPr>
        <w:spacing w:after="0" w:line="240" w:lineRule="auto"/>
        <w:rPr>
          <w:rFonts w:eastAsia="Times New Roman" w:cs="Arial"/>
          <w:color w:val="000000"/>
          <w:sz w:val="24"/>
          <w:szCs w:val="24"/>
        </w:rPr>
      </w:pPr>
    </w:p>
    <w:p w:rsidR="00177A8D" w:rsidRDefault="00177A8D" w:rsidP="00177A8D">
      <w:pPr>
        <w:pStyle w:val="ListParagraph"/>
        <w:spacing w:after="0" w:line="240" w:lineRule="auto"/>
        <w:ind w:left="360"/>
        <w:rPr>
          <w:rFonts w:eastAsia="Times New Roman" w:cs="Arial"/>
          <w:b/>
          <w:color w:val="000000"/>
          <w:sz w:val="24"/>
          <w:szCs w:val="24"/>
        </w:rPr>
      </w:pPr>
    </w:p>
    <w:p w:rsidR="00177A8D" w:rsidRDefault="00177A8D" w:rsidP="00177A8D">
      <w:pPr>
        <w:spacing w:after="0"/>
        <w:rPr>
          <w:bCs/>
          <w:sz w:val="24"/>
          <w:szCs w:val="24"/>
        </w:rPr>
      </w:pPr>
    </w:p>
    <w:p w:rsidR="00177A8D" w:rsidRDefault="00177A8D" w:rsidP="00177A8D">
      <w:pPr>
        <w:spacing w:after="0" w:line="240" w:lineRule="auto"/>
        <w:rPr>
          <w:rFonts w:eastAsia="Times New Roman" w:cs="Arial"/>
          <w:b/>
          <w:color w:val="000000"/>
          <w:sz w:val="24"/>
          <w:szCs w:val="24"/>
        </w:rPr>
      </w:pPr>
      <w:r>
        <w:rPr>
          <w:rFonts w:eastAsia="Times New Roman" w:cs="Arial"/>
          <w:b/>
          <w:color w:val="000000"/>
          <w:sz w:val="24"/>
          <w:szCs w:val="24"/>
        </w:rPr>
        <w:t>Fig 3</w:t>
      </w:r>
      <w:r>
        <w:rPr>
          <w:rFonts w:eastAsia="Times New Roman" w:cs="Arial"/>
          <w:color w:val="000000"/>
          <w:sz w:val="24"/>
          <w:szCs w:val="24"/>
        </w:rPr>
        <w:t>:</w:t>
      </w:r>
      <w:r>
        <w:rPr>
          <w:rFonts w:eastAsia="Times New Roman" w:cs="Arial"/>
          <w:b/>
          <w:color w:val="000000"/>
          <w:sz w:val="24"/>
          <w:szCs w:val="24"/>
        </w:rPr>
        <w:t xml:space="preserve"> </w:t>
      </w:r>
      <w:r>
        <w:rPr>
          <w:rFonts w:eastAsia="Times New Roman" w:cs="Arial"/>
          <w:bCs/>
          <w:color w:val="000000"/>
          <w:sz w:val="24"/>
          <w:szCs w:val="24"/>
        </w:rPr>
        <w:t xml:space="preserve">PREVALENCE BPH/BPE/NCPE LA POPULATION ÉLEVÉ D’ </w:t>
      </w:r>
      <w:proofErr w:type="gramStart"/>
      <w:r>
        <w:rPr>
          <w:rFonts w:eastAsia="Times New Roman" w:cs="Arial"/>
          <w:bCs/>
          <w:color w:val="000000"/>
          <w:sz w:val="24"/>
          <w:szCs w:val="24"/>
        </w:rPr>
        <w:t>ACCRA  2,905,736</w:t>
      </w:r>
      <w:proofErr w:type="gramEnd"/>
      <w:r>
        <w:rPr>
          <w:rFonts w:eastAsia="Times New Roman" w:cs="Arial"/>
          <w:bCs/>
          <w:color w:val="000000"/>
          <w:sz w:val="24"/>
          <w:szCs w:val="24"/>
        </w:rPr>
        <w:t xml:space="preserve"> GPHS HOMMES 50-74 – 125,443 (2002 – 2007) UGMS NCI/NIH</w:t>
      </w:r>
    </w:p>
    <w:p w:rsidR="00177A8D" w:rsidRDefault="00177A8D" w:rsidP="00177A8D">
      <w:pPr>
        <w:rPr>
          <w:sz w:val="18"/>
          <w:szCs w:val="18"/>
        </w:rPr>
      </w:pPr>
      <w:r>
        <w:rPr>
          <w:noProof/>
          <w:sz w:val="18"/>
          <w:szCs w:val="18"/>
          <w:lang w:val="en-GB" w:eastAsia="en-GB"/>
        </w:rPr>
        <w:lastRenderedPageBreak/>
        <w:drawing>
          <wp:inline distT="0" distB="0" distL="0" distR="0">
            <wp:extent cx="4162425" cy="2393394"/>
            <wp:effectExtent l="0" t="0" r="0" b="0"/>
            <wp:docPr id="10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4162425" cy="2393394"/>
                    </a:xfrm>
                    <a:prstGeom prst="rect">
                      <a:avLst/>
                    </a:prstGeom>
                    <a:ln w="9525" cap="flat" cmpd="sng">
                      <a:solidFill>
                        <a:srgbClr val="000000"/>
                      </a:solidFill>
                      <a:prstDash val="solid"/>
                      <a:miter/>
                      <a:headEnd type="none" w="med" len="med"/>
                      <a:tailEnd type="none" w="med" len="med"/>
                    </a:ln>
                  </pic:spPr>
                </pic:pic>
              </a:graphicData>
            </a:graphic>
          </wp:inline>
        </w:drawing>
      </w:r>
    </w:p>
    <w:p w:rsidR="00177A8D" w:rsidRDefault="00177A8D" w:rsidP="00177A8D">
      <w:pPr>
        <w:spacing w:after="0"/>
        <w:rPr>
          <w:bCs/>
          <w:i/>
          <w:sz w:val="24"/>
          <w:szCs w:val="24"/>
          <w:u w:val="single"/>
        </w:rPr>
      </w:pPr>
    </w:p>
    <w:p w:rsidR="00177A8D" w:rsidRDefault="00177A8D" w:rsidP="00177A8D">
      <w:pPr>
        <w:spacing w:after="0"/>
        <w:rPr>
          <w:bCs/>
          <w:i/>
          <w:sz w:val="24"/>
          <w:szCs w:val="24"/>
          <w:u w:val="single"/>
        </w:rPr>
      </w:pPr>
    </w:p>
    <w:p w:rsidR="00177A8D" w:rsidRDefault="00177A8D" w:rsidP="00177A8D">
      <w:pPr>
        <w:spacing w:after="0"/>
        <w:rPr>
          <w:bCs/>
          <w:i/>
          <w:sz w:val="24"/>
          <w:szCs w:val="24"/>
          <w:u w:val="single"/>
        </w:rPr>
      </w:pPr>
      <w:r>
        <w:rPr>
          <w:bCs/>
          <w:i/>
          <w:sz w:val="24"/>
          <w:szCs w:val="24"/>
          <w:u w:val="single"/>
        </w:rPr>
        <w:t>Depistage de cancer de la prostate au Ghana</w:t>
      </w:r>
    </w:p>
    <w:p w:rsidR="00177A8D" w:rsidRDefault="00177A8D" w:rsidP="00177A8D">
      <w:pPr>
        <w:spacing w:after="0"/>
        <w:rPr>
          <w:bCs/>
          <w:i/>
          <w:sz w:val="24"/>
          <w:szCs w:val="24"/>
          <w:u w:val="single"/>
        </w:rPr>
      </w:pPr>
      <w:r>
        <w:rPr>
          <w:bCs/>
          <w:i/>
          <w:sz w:val="24"/>
          <w:szCs w:val="24"/>
          <w:u w:val="single"/>
        </w:rPr>
        <w:t xml:space="preserve">ET A PE n= 73 cas    </w:t>
      </w:r>
      <w:proofErr w:type="gramStart"/>
      <w:r>
        <w:rPr>
          <w:bCs/>
          <w:i/>
          <w:sz w:val="24"/>
          <w:szCs w:val="24"/>
          <w:u w:val="single"/>
        </w:rPr>
        <w:t>PSA  &gt;</w:t>
      </w:r>
      <w:proofErr w:type="gramEnd"/>
      <w:r>
        <w:rPr>
          <w:bCs/>
          <w:i/>
          <w:sz w:val="24"/>
          <w:szCs w:val="24"/>
          <w:u w:val="single"/>
        </w:rPr>
        <w:t xml:space="preserve"> 2.5n g/m l</w:t>
      </w:r>
    </w:p>
    <w:p w:rsidR="00177A8D" w:rsidRDefault="00601102" w:rsidP="00177A8D">
      <w:pPr>
        <w:rPr>
          <w:sz w:val="24"/>
          <w:szCs w:val="24"/>
        </w:rPr>
      </w:pPr>
      <w:r w:rsidRPr="00601102">
        <w:rPr>
          <w:noProof/>
        </w:rPr>
        <w:pict>
          <v:shape id="1037" o:spid="_x0000_s1042" type="#_x0000_t202" style="position:absolute;margin-left:-18pt;margin-top:19.25pt;width:69pt;height:30.75pt;z-index:251682816;visibility:visible;mso-wrap-distance-left:0;mso-wrap-distance-right:0" filled="f" strokecolor="white">
            <v:textbox>
              <w:txbxContent>
                <w:p w:rsidR="00177A8D" w:rsidRDefault="00177A8D" w:rsidP="00177A8D">
                  <w:pPr>
                    <w:rPr>
                      <w:b/>
                      <w:sz w:val="24"/>
                      <w:szCs w:val="24"/>
                    </w:rPr>
                  </w:pPr>
                  <w:r>
                    <w:rPr>
                      <w:b/>
                      <w:sz w:val="24"/>
                      <w:szCs w:val="24"/>
                    </w:rPr>
                    <w:t>Fig 4:</w:t>
                  </w:r>
                </w:p>
              </w:txbxContent>
            </v:textbox>
          </v:shape>
        </w:pict>
      </w:r>
      <w:r w:rsidRPr="00601102">
        <w:rPr>
          <w:noProof/>
        </w:rPr>
        <w:pict>
          <v:shape id="1038" o:spid="_x0000_s1041" type="#_x0000_t202" style="position:absolute;margin-left:185.25pt;margin-top:194.75pt;width:105pt;height:19.5pt;z-index:251681792;visibility:visible;mso-wrap-distance-left:0;mso-wrap-distance-right:0">
            <v:textbox>
              <w:txbxContent>
                <w:p w:rsidR="00177A8D" w:rsidRDefault="00177A8D" w:rsidP="00177A8D">
                  <w:r>
                    <w:t>T1-T2 (59) = 81%</w:t>
                  </w:r>
                </w:p>
              </w:txbxContent>
            </v:textbox>
          </v:shape>
        </w:pict>
      </w:r>
      <w:r w:rsidR="00177A8D">
        <w:rPr>
          <w:noProof/>
          <w:lang w:val="en-GB" w:eastAsia="en-GB"/>
        </w:rPr>
        <w:drawing>
          <wp:inline distT="0" distB="0" distL="0" distR="0">
            <wp:extent cx="3709670" cy="2605404"/>
            <wp:effectExtent l="0" t="0" r="0" b="0"/>
            <wp:docPr id="103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4" cstate="print"/>
                    <a:srcRect/>
                    <a:stretch/>
                  </pic:blipFill>
                  <pic:spPr>
                    <a:xfrm>
                      <a:off x="0" y="0"/>
                      <a:ext cx="3709670" cy="2605404"/>
                    </a:xfrm>
                    <a:prstGeom prst="rect">
                      <a:avLst/>
                    </a:prstGeom>
                    <a:ln>
                      <a:noFill/>
                    </a:ln>
                  </pic:spPr>
                </pic:pic>
              </a:graphicData>
            </a:graphic>
          </wp:inline>
        </w:drawing>
      </w:r>
    </w:p>
    <w:p w:rsidR="00177A8D" w:rsidRDefault="00177A8D" w:rsidP="00177A8D">
      <w:pPr>
        <w:spacing w:after="0"/>
        <w:rPr>
          <w:b/>
          <w:bCs/>
          <w:sz w:val="24"/>
          <w:szCs w:val="24"/>
        </w:rPr>
      </w:pPr>
    </w:p>
    <w:p w:rsidR="00177A8D" w:rsidRDefault="00177A8D" w:rsidP="00177A8D">
      <w:pPr>
        <w:spacing w:after="0"/>
        <w:rPr>
          <w:b/>
          <w:bCs/>
          <w:sz w:val="24"/>
          <w:szCs w:val="24"/>
        </w:rPr>
      </w:pPr>
    </w:p>
    <w:p w:rsidR="00177A8D" w:rsidRDefault="00177A8D" w:rsidP="00177A8D">
      <w:pPr>
        <w:spacing w:after="0"/>
        <w:rPr>
          <w:b/>
          <w:bCs/>
          <w:sz w:val="24"/>
          <w:szCs w:val="24"/>
        </w:rPr>
      </w:pPr>
    </w:p>
    <w:p w:rsidR="00177A8D" w:rsidRDefault="00177A8D" w:rsidP="00177A8D">
      <w:pPr>
        <w:spacing w:after="0"/>
        <w:rPr>
          <w:b/>
          <w:bCs/>
          <w:sz w:val="24"/>
          <w:szCs w:val="24"/>
        </w:rPr>
      </w:pPr>
    </w:p>
    <w:p w:rsidR="00177A8D" w:rsidRDefault="00177A8D" w:rsidP="00177A8D">
      <w:pPr>
        <w:spacing w:after="0"/>
        <w:rPr>
          <w:b/>
          <w:bCs/>
          <w:sz w:val="24"/>
          <w:szCs w:val="24"/>
        </w:rPr>
      </w:pPr>
    </w:p>
    <w:p w:rsidR="00177A8D" w:rsidRDefault="00177A8D" w:rsidP="00177A8D">
      <w:pPr>
        <w:spacing w:after="0"/>
        <w:rPr>
          <w:b/>
          <w:bCs/>
          <w:sz w:val="24"/>
          <w:szCs w:val="24"/>
        </w:rPr>
      </w:pPr>
      <w:r>
        <w:rPr>
          <w:b/>
          <w:bCs/>
          <w:sz w:val="24"/>
          <w:szCs w:val="24"/>
        </w:rPr>
        <w:t xml:space="preserve">Écran détecté de la </w:t>
      </w:r>
      <w:proofErr w:type="gramStart"/>
      <w:r>
        <w:rPr>
          <w:b/>
          <w:bCs/>
          <w:sz w:val="24"/>
          <w:szCs w:val="24"/>
        </w:rPr>
        <w:t>prévalence  de</w:t>
      </w:r>
      <w:proofErr w:type="gramEnd"/>
      <w:r>
        <w:rPr>
          <w:b/>
          <w:bCs/>
          <w:sz w:val="24"/>
          <w:szCs w:val="24"/>
        </w:rPr>
        <w:t xml:space="preserve"> cancer prostate (%)</w:t>
      </w:r>
    </w:p>
    <w:p w:rsidR="00177A8D" w:rsidRDefault="00177A8D" w:rsidP="00177A8D">
      <w:pPr>
        <w:spacing w:after="0"/>
        <w:rPr>
          <w:b/>
          <w:bCs/>
          <w:sz w:val="24"/>
          <w:szCs w:val="24"/>
        </w:rPr>
      </w:pPr>
    </w:p>
    <w:p w:rsidR="00177A8D" w:rsidRDefault="00177A8D" w:rsidP="00177A8D">
      <w:pPr>
        <w:spacing w:after="0"/>
        <w:rPr>
          <w:sz w:val="24"/>
          <w:szCs w:val="24"/>
          <w:vertAlign w:val="superscript"/>
        </w:rPr>
      </w:pPr>
      <w:r>
        <w:rPr>
          <w:noProof/>
          <w:sz w:val="24"/>
          <w:szCs w:val="24"/>
          <w:vertAlign w:val="superscript"/>
          <w:lang w:val="en-GB" w:eastAsia="en-GB"/>
        </w:rPr>
        <w:drawing>
          <wp:anchor distT="0" distB="0" distL="0" distR="0" simplePos="0" relativeHeight="251683840" behindDoc="0" locked="0" layoutInCell="1" allowOverlap="1">
            <wp:simplePos x="0" y="0"/>
            <wp:positionH relativeFrom="column">
              <wp:posOffset>138023</wp:posOffset>
            </wp:positionH>
            <wp:positionV relativeFrom="paragraph">
              <wp:posOffset>106656</wp:posOffset>
            </wp:positionV>
            <wp:extent cx="4727276" cy="2398143"/>
            <wp:effectExtent l="0" t="0" r="0" b="0"/>
            <wp:wrapNone/>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b/>
          <w:bCs/>
          <w:sz w:val="24"/>
          <w:szCs w:val="24"/>
        </w:rPr>
        <w:t xml:space="preserve">Fig 5:       </w:t>
      </w:r>
      <w:r>
        <w:rPr>
          <w:bCs/>
          <w:sz w:val="24"/>
          <w:szCs w:val="24"/>
          <w:u w:val="single"/>
        </w:rPr>
        <w:t>Screen-Detected Prostate Cancer Prevalence (%)</w:t>
      </w:r>
    </w:p>
    <w:p w:rsidR="00177A8D" w:rsidRDefault="00177A8D" w:rsidP="00177A8D">
      <w:pPr>
        <w:rPr>
          <w:sz w:val="24"/>
          <w:szCs w:val="24"/>
        </w:rPr>
      </w:pPr>
    </w:p>
    <w:p w:rsidR="00177A8D" w:rsidRDefault="00177A8D" w:rsidP="00177A8D">
      <w:pPr>
        <w:rPr>
          <w:sz w:val="24"/>
          <w:szCs w:val="24"/>
        </w:rPr>
      </w:pPr>
    </w:p>
    <w:p w:rsidR="00177A8D" w:rsidRDefault="00177A8D" w:rsidP="00177A8D">
      <w:pPr>
        <w:rPr>
          <w:sz w:val="24"/>
          <w:szCs w:val="24"/>
        </w:rPr>
      </w:pPr>
    </w:p>
    <w:p w:rsidR="00177A8D" w:rsidRDefault="00177A8D" w:rsidP="00177A8D">
      <w:pPr>
        <w:rPr>
          <w:sz w:val="24"/>
          <w:szCs w:val="24"/>
        </w:rPr>
      </w:pPr>
    </w:p>
    <w:p w:rsidR="00177A8D" w:rsidRDefault="00177A8D" w:rsidP="00177A8D">
      <w:pPr>
        <w:rPr>
          <w:sz w:val="24"/>
          <w:szCs w:val="24"/>
        </w:rPr>
      </w:pPr>
    </w:p>
    <w:p w:rsidR="00177A8D" w:rsidRDefault="00177A8D" w:rsidP="00177A8D">
      <w:pPr>
        <w:rPr>
          <w:sz w:val="24"/>
          <w:szCs w:val="24"/>
        </w:rPr>
      </w:pPr>
    </w:p>
    <w:p w:rsidR="00177A8D" w:rsidRDefault="00177A8D" w:rsidP="00177A8D">
      <w:pPr>
        <w:rPr>
          <w:i/>
        </w:rPr>
      </w:pPr>
      <w:r>
        <w:rPr>
          <w:i/>
        </w:rPr>
        <w:t xml:space="preserve"> </w:t>
      </w:r>
    </w:p>
    <w:p w:rsidR="00177A8D" w:rsidRPr="0018047B" w:rsidRDefault="00177A8D" w:rsidP="00177A8D">
      <w:r>
        <w:rPr>
          <w:i/>
        </w:rPr>
        <w:t>Ref Prostate, poumon</w:t>
      </w:r>
      <w:proofErr w:type="gramStart"/>
      <w:r>
        <w:rPr>
          <w:i/>
        </w:rPr>
        <w:t>,colorectal</w:t>
      </w:r>
      <w:proofErr w:type="gramEnd"/>
      <w:r>
        <w:rPr>
          <w:i/>
        </w:rPr>
        <w:t xml:space="preserve"> et ovarien (PLCO) depistage de cancer (Andriole 2005)</w:t>
      </w:r>
      <w:r>
        <w:rPr>
          <w:i/>
          <w:vertAlign w:val="superscript"/>
        </w:rPr>
        <w:t>43</w:t>
      </w:r>
      <w:r>
        <w:rPr>
          <w:i/>
        </w:rPr>
        <w:t>, South Carolina(Weinrich 1998)</w:t>
      </w:r>
      <w:r>
        <w:rPr>
          <w:i/>
          <w:vertAlign w:val="superscript"/>
        </w:rPr>
        <w:t>44</w:t>
      </w:r>
      <w:r>
        <w:rPr>
          <w:i/>
        </w:rPr>
        <w:t>, Flint Men’s Health Study (Cooney 2001)</w:t>
      </w:r>
      <w:r>
        <w:rPr>
          <w:i/>
          <w:vertAlign w:val="superscript"/>
        </w:rPr>
        <w:t>45</w:t>
      </w:r>
      <w:r>
        <w:rPr>
          <w:i/>
        </w:rPr>
        <w:t>, l’education de détroit et la détection précoce  (DEED) étude Powell 1997)</w:t>
      </w:r>
      <w:r>
        <w:rPr>
          <w:i/>
          <w:vertAlign w:val="superscript"/>
        </w:rPr>
        <w:t>46</w:t>
      </w:r>
      <w:r>
        <w:rPr>
          <w:i/>
        </w:rPr>
        <w:t>, St. Louis Missouri (Smith 1996)</w:t>
      </w:r>
      <w:r>
        <w:rPr>
          <w:i/>
          <w:vertAlign w:val="superscript"/>
        </w:rPr>
        <w:t>47</w:t>
      </w:r>
      <w:r>
        <w:rPr>
          <w:i/>
        </w:rPr>
        <w:t>, l'enquête de cancer de la prostate a  Tobago (Bunker 2002)</w:t>
      </w:r>
      <w:r>
        <w:rPr>
          <w:i/>
          <w:vertAlign w:val="superscript"/>
        </w:rPr>
        <w:t>48</w:t>
      </w:r>
      <w:r>
        <w:rPr>
          <w:i/>
        </w:rPr>
        <w:t xml:space="preserve"> ,Ann Hsing 2014</w:t>
      </w:r>
      <w:r>
        <w:rPr>
          <w:i/>
          <w:vertAlign w:val="superscript"/>
        </w:rPr>
        <w:t>20</w:t>
      </w:r>
    </w:p>
    <w:p w:rsidR="00177A8D" w:rsidRDefault="00177A8D" w:rsidP="00177A8D">
      <w:pPr>
        <w:spacing w:after="0"/>
        <w:rPr>
          <w:bCs/>
          <w:i/>
          <w:sz w:val="24"/>
          <w:szCs w:val="24"/>
          <w:u w:val="single"/>
        </w:rPr>
      </w:pPr>
    </w:p>
    <w:p w:rsidR="00177A8D" w:rsidRDefault="00177A8D" w:rsidP="00177A8D">
      <w:pPr>
        <w:spacing w:after="0"/>
        <w:rPr>
          <w:bCs/>
          <w:i/>
          <w:sz w:val="24"/>
          <w:szCs w:val="24"/>
          <w:u w:val="single"/>
        </w:rPr>
      </w:pPr>
    </w:p>
    <w:p w:rsidR="00177A8D" w:rsidRDefault="00177A8D" w:rsidP="00177A8D">
      <w:pPr>
        <w:spacing w:after="0"/>
        <w:rPr>
          <w:bCs/>
          <w:i/>
          <w:sz w:val="24"/>
          <w:szCs w:val="24"/>
          <w:u w:val="single"/>
        </w:rPr>
      </w:pPr>
    </w:p>
    <w:p w:rsidR="00177A8D" w:rsidRDefault="00177A8D" w:rsidP="00177A8D">
      <w:pPr>
        <w:spacing w:after="0"/>
        <w:rPr>
          <w:b/>
          <w:bCs/>
          <w:i/>
          <w:sz w:val="24"/>
          <w:szCs w:val="24"/>
          <w:u w:val="single"/>
        </w:rPr>
      </w:pPr>
    </w:p>
    <w:p w:rsidR="004A70F6" w:rsidRDefault="004A70F6" w:rsidP="004A70F6">
      <w:pPr>
        <w:spacing w:after="0"/>
        <w:rPr>
          <w:b/>
          <w:bCs/>
          <w:sz w:val="24"/>
          <w:szCs w:val="24"/>
        </w:rPr>
      </w:pPr>
      <w:r>
        <w:rPr>
          <w:b/>
          <w:bCs/>
          <w:sz w:val="24"/>
          <w:szCs w:val="24"/>
        </w:rPr>
        <w:t xml:space="preserve">References </w:t>
      </w:r>
    </w:p>
    <w:p w:rsidR="004A70F6" w:rsidRDefault="004A70F6" w:rsidP="004A70F6">
      <w:pPr>
        <w:spacing w:after="0"/>
        <w:rPr>
          <w:bCs/>
          <w:sz w:val="24"/>
          <w:szCs w:val="24"/>
        </w:rPr>
      </w:pPr>
    </w:p>
    <w:p w:rsidR="004A70F6" w:rsidRDefault="004A70F6" w:rsidP="004A70F6">
      <w:pPr>
        <w:pStyle w:val="ListParagraph"/>
        <w:numPr>
          <w:ilvl w:val="0"/>
          <w:numId w:val="10"/>
        </w:numPr>
        <w:spacing w:after="0"/>
        <w:rPr>
          <w:bCs/>
        </w:rPr>
      </w:pPr>
      <w:r>
        <w:rPr>
          <w:bCs/>
        </w:rPr>
        <w:t>McNeal JE.  Origins and development of cancer in the Prostate Gland. CANCER. 1969; 23:24 – 34.</w:t>
      </w:r>
    </w:p>
    <w:p w:rsidR="004A70F6" w:rsidRDefault="004A70F6" w:rsidP="004A70F6">
      <w:pPr>
        <w:pStyle w:val="ListParagraph"/>
        <w:numPr>
          <w:ilvl w:val="0"/>
          <w:numId w:val="10"/>
        </w:numPr>
        <w:spacing w:after="0"/>
        <w:rPr>
          <w:bCs/>
        </w:rPr>
      </w:pPr>
      <w:r>
        <w:rPr>
          <w:bCs/>
        </w:rPr>
        <w:t>McNeal JE. Pathology in BPH insight into aetiology review Urological clinics of North America. 1990</w:t>
      </w:r>
      <w:proofErr w:type="gramStart"/>
      <w:r>
        <w:rPr>
          <w:bCs/>
        </w:rPr>
        <w:t>;17:447</w:t>
      </w:r>
      <w:proofErr w:type="gramEnd"/>
      <w:r>
        <w:rPr>
          <w:bCs/>
        </w:rPr>
        <w:t xml:space="preserve"> – 486. </w:t>
      </w:r>
    </w:p>
    <w:p w:rsidR="004A70F6" w:rsidRDefault="004A70F6" w:rsidP="004A70F6">
      <w:pPr>
        <w:pStyle w:val="ListParagraph"/>
        <w:numPr>
          <w:ilvl w:val="0"/>
          <w:numId w:val="10"/>
        </w:numPr>
        <w:spacing w:after="0"/>
        <w:rPr>
          <w:bCs/>
        </w:rPr>
      </w:pPr>
      <w:r>
        <w:rPr>
          <w:bCs/>
        </w:rPr>
        <w:t>Barry MJ. Epidemiology of Benign prostatic hyperplasia. Urol Clin North America. 1990a; 17: 495 – 507.</w:t>
      </w:r>
    </w:p>
    <w:p w:rsidR="004A70F6" w:rsidRDefault="004A70F6" w:rsidP="004A70F6">
      <w:pPr>
        <w:pStyle w:val="ListParagraph"/>
        <w:numPr>
          <w:ilvl w:val="0"/>
          <w:numId w:val="10"/>
        </w:numPr>
        <w:spacing w:after="0"/>
        <w:rPr>
          <w:bCs/>
        </w:rPr>
      </w:pPr>
      <w:r>
        <w:rPr>
          <w:bCs/>
        </w:rPr>
        <w:t>Barry MJ. Medical Outcomes of research and benign prostatic hyperplasia.  PROSTATE. 1990; 6:3(Suppl):61 – 74.</w:t>
      </w:r>
    </w:p>
    <w:p w:rsidR="004A70F6" w:rsidRDefault="004A70F6" w:rsidP="004A70F6">
      <w:pPr>
        <w:pStyle w:val="ListParagraph"/>
        <w:numPr>
          <w:ilvl w:val="0"/>
          <w:numId w:val="10"/>
        </w:numPr>
        <w:spacing w:after="0"/>
        <w:rPr>
          <w:bCs/>
        </w:rPr>
      </w:pPr>
      <w:r>
        <w:rPr>
          <w:bCs/>
        </w:rPr>
        <w:t>Bosch JL, Hop WC, Kirkels WJ, Shrodder FH. The International Prostate Symptom Score in community based sample of men between 55 – 74 years of age prevalence and correlation with age, prostate volume, flow rate and residual volume. Brit J Urol. 1995</w:t>
      </w:r>
      <w:proofErr w:type="gramStart"/>
      <w:r>
        <w:rPr>
          <w:bCs/>
        </w:rPr>
        <w:t>;75:622</w:t>
      </w:r>
      <w:proofErr w:type="gramEnd"/>
      <w:r>
        <w:rPr>
          <w:bCs/>
        </w:rPr>
        <w:t xml:space="preserve"> – 630. </w:t>
      </w:r>
    </w:p>
    <w:p w:rsidR="004A70F6" w:rsidRDefault="004A70F6" w:rsidP="004A70F6">
      <w:pPr>
        <w:pStyle w:val="ListParagraph"/>
        <w:numPr>
          <w:ilvl w:val="0"/>
          <w:numId w:val="10"/>
        </w:numPr>
        <w:spacing w:after="0"/>
        <w:rPr>
          <w:bCs/>
        </w:rPr>
      </w:pPr>
      <w:r>
        <w:rPr>
          <w:bCs/>
        </w:rPr>
        <w:t>Armenian H, Lechenfield AM, Diamond EL, Bross ID. Relation between benign prostatic hyperplasia and cancer of prostate – A Prospective and Retrospective Study. LANCET. 1974</w:t>
      </w:r>
      <w:proofErr w:type="gramStart"/>
      <w:r>
        <w:rPr>
          <w:bCs/>
        </w:rPr>
        <w:t>;304</w:t>
      </w:r>
      <w:proofErr w:type="gramEnd"/>
      <w:r>
        <w:rPr>
          <w:bCs/>
        </w:rPr>
        <w:t>(7873):115 – 117.</w:t>
      </w:r>
    </w:p>
    <w:p w:rsidR="004A70F6" w:rsidRDefault="004A70F6" w:rsidP="004A70F6">
      <w:pPr>
        <w:pStyle w:val="ListParagraph"/>
        <w:numPr>
          <w:ilvl w:val="0"/>
          <w:numId w:val="10"/>
        </w:numPr>
        <w:spacing w:after="0"/>
        <w:rPr>
          <w:bCs/>
        </w:rPr>
      </w:pPr>
      <w:r>
        <w:rPr>
          <w:bCs/>
        </w:rPr>
        <w:t>Boswick DG, Cooner WH, Denis L, Jones GW, Scardino PT, Murphy GP. The association of benign prostatic hyperplasia and cancer of the prostate.  CANCER. 1992</w:t>
      </w:r>
      <w:proofErr w:type="gramStart"/>
      <w:r>
        <w:rPr>
          <w:bCs/>
        </w:rPr>
        <w:t>;70</w:t>
      </w:r>
      <w:proofErr w:type="gramEnd"/>
      <w:r>
        <w:rPr>
          <w:bCs/>
        </w:rPr>
        <w:t xml:space="preserve">(Suppl):291–301. </w:t>
      </w:r>
    </w:p>
    <w:p w:rsidR="004A70F6" w:rsidRDefault="004A70F6" w:rsidP="004A70F6">
      <w:pPr>
        <w:pStyle w:val="ListParagraph"/>
        <w:numPr>
          <w:ilvl w:val="0"/>
          <w:numId w:val="10"/>
        </w:numPr>
        <w:spacing w:after="0"/>
        <w:rPr>
          <w:bCs/>
        </w:rPr>
      </w:pPr>
      <w:r>
        <w:rPr>
          <w:bCs/>
        </w:rPr>
        <w:t>Suzuki Kazuhiro. Epidemiology of Prostate cancer and benign prostatic hyperplasia.  JMAJ. 2009</w:t>
      </w:r>
      <w:proofErr w:type="gramStart"/>
      <w:r>
        <w:rPr>
          <w:bCs/>
        </w:rPr>
        <w:t>;52</w:t>
      </w:r>
      <w:proofErr w:type="gramEnd"/>
      <w:r>
        <w:rPr>
          <w:bCs/>
        </w:rPr>
        <w:t>(6):478–483.</w:t>
      </w:r>
    </w:p>
    <w:p w:rsidR="004A70F6" w:rsidRDefault="004A70F6" w:rsidP="004A70F6">
      <w:pPr>
        <w:pStyle w:val="ListParagraph"/>
        <w:numPr>
          <w:ilvl w:val="0"/>
          <w:numId w:val="10"/>
        </w:numPr>
        <w:spacing w:after="0"/>
        <w:rPr>
          <w:bCs/>
        </w:rPr>
      </w:pPr>
      <w:r>
        <w:rPr>
          <w:bCs/>
        </w:rPr>
        <w:t>Roehrbron CG, Bryle P, Gould AC, Waldetrecher J. Serum prostate specific antigens predictor of prostate volume in men with benign prostatic hyperplasia. Urology. 1999</w:t>
      </w:r>
      <w:proofErr w:type="gramStart"/>
      <w:r>
        <w:rPr>
          <w:bCs/>
        </w:rPr>
        <w:t>;53:581</w:t>
      </w:r>
      <w:proofErr w:type="gramEnd"/>
      <w:r>
        <w:rPr>
          <w:bCs/>
        </w:rPr>
        <w:t>–589.</w:t>
      </w:r>
    </w:p>
    <w:p w:rsidR="004A70F6" w:rsidRDefault="004A70F6" w:rsidP="004A70F6">
      <w:pPr>
        <w:pStyle w:val="ListParagraph"/>
        <w:numPr>
          <w:ilvl w:val="0"/>
          <w:numId w:val="10"/>
        </w:numPr>
        <w:spacing w:after="0"/>
        <w:rPr>
          <w:bCs/>
        </w:rPr>
      </w:pPr>
      <w:r>
        <w:rPr>
          <w:bCs/>
        </w:rPr>
        <w:lastRenderedPageBreak/>
        <w:t>Prevalence of disease (BPH) using autopsy series, clinical diagnosis, low flow rate, palpable enlargement by DRE and community based studies. Baltimore Longitudinal study on aging 2001 (Berry 1984, Galloway 1993, Gu et al 1994, Jolley 1993, Bosch 1995a, Guess 1995, Moon 1991, Overlad 2001).</w:t>
      </w:r>
    </w:p>
    <w:p w:rsidR="004A70F6" w:rsidRDefault="004A70F6" w:rsidP="004A70F6">
      <w:pPr>
        <w:pStyle w:val="ListParagraph"/>
        <w:numPr>
          <w:ilvl w:val="0"/>
          <w:numId w:val="10"/>
        </w:numPr>
        <w:spacing w:after="0"/>
        <w:rPr>
          <w:bCs/>
        </w:rPr>
      </w:pPr>
      <w:r>
        <w:rPr>
          <w:bCs/>
        </w:rPr>
        <w:t>South African Urological Association. Management of BPH. SAMJ. 2006</w:t>
      </w:r>
      <w:proofErr w:type="gramStart"/>
      <w:r>
        <w:rPr>
          <w:bCs/>
        </w:rPr>
        <w:t>;96</w:t>
      </w:r>
      <w:proofErr w:type="gramEnd"/>
      <w:r>
        <w:rPr>
          <w:bCs/>
        </w:rPr>
        <w:t>(12):1275–1280.</w:t>
      </w:r>
    </w:p>
    <w:p w:rsidR="004A70F6" w:rsidRDefault="004A70F6" w:rsidP="004A70F6">
      <w:pPr>
        <w:pStyle w:val="ListParagraph"/>
        <w:numPr>
          <w:ilvl w:val="0"/>
          <w:numId w:val="10"/>
        </w:numPr>
        <w:spacing w:after="0"/>
        <w:rPr>
          <w:bCs/>
        </w:rPr>
      </w:pPr>
      <w:r>
        <w:rPr>
          <w:bCs/>
        </w:rPr>
        <w:t>AUA Practice Guidelines Committee of American Urological Association.  Guidelines on management of BPH.  J Urol. 2003</w:t>
      </w:r>
      <w:proofErr w:type="gramStart"/>
      <w:r>
        <w:rPr>
          <w:bCs/>
        </w:rPr>
        <w:t>;170:530</w:t>
      </w:r>
      <w:proofErr w:type="gramEnd"/>
      <w:r>
        <w:rPr>
          <w:bCs/>
        </w:rPr>
        <w:t>–547.</w:t>
      </w:r>
    </w:p>
    <w:p w:rsidR="004A70F6" w:rsidRDefault="004A70F6" w:rsidP="004A70F6">
      <w:pPr>
        <w:pStyle w:val="ListParagraph"/>
        <w:numPr>
          <w:ilvl w:val="0"/>
          <w:numId w:val="10"/>
        </w:numPr>
        <w:spacing w:after="0"/>
        <w:rPr>
          <w:bCs/>
        </w:rPr>
      </w:pPr>
      <w:r>
        <w:rPr>
          <w:bCs/>
        </w:rPr>
        <w:t xml:space="preserve">Paulson DF. Randomised series of treatment with surgery vs radiation for prostate adenocarcinoma.  NCI Monogr. </w:t>
      </w:r>
      <w:proofErr w:type="gramStart"/>
      <w:r>
        <w:rPr>
          <w:bCs/>
        </w:rPr>
        <w:t>1988;</w:t>
      </w:r>
      <w:proofErr w:type="gramEnd"/>
      <w:r>
        <w:rPr>
          <w:bCs/>
        </w:rPr>
        <w:t>(7): 127–31.</w:t>
      </w:r>
    </w:p>
    <w:p w:rsidR="004A70F6" w:rsidRDefault="004A70F6" w:rsidP="004A70F6">
      <w:pPr>
        <w:pStyle w:val="ListParagraph"/>
        <w:numPr>
          <w:ilvl w:val="0"/>
          <w:numId w:val="10"/>
        </w:numPr>
        <w:spacing w:after="0"/>
        <w:rPr>
          <w:bCs/>
        </w:rPr>
      </w:pPr>
      <w:r>
        <w:rPr>
          <w:bCs/>
        </w:rPr>
        <w:t>Schroder FH, Roacha M, Scordino P. Clinical decision making in management of prostate cancer. New Engl J Medicine. 2008</w:t>
      </w:r>
      <w:proofErr w:type="gramStart"/>
      <w:r>
        <w:rPr>
          <w:bCs/>
        </w:rPr>
        <w:t>;3592:2602</w:t>
      </w:r>
      <w:proofErr w:type="gramEnd"/>
      <w:r>
        <w:rPr>
          <w:bCs/>
        </w:rPr>
        <w:t>-2609.</w:t>
      </w:r>
    </w:p>
    <w:p w:rsidR="004A70F6" w:rsidRDefault="004A70F6" w:rsidP="004A70F6">
      <w:pPr>
        <w:pStyle w:val="ListParagraph"/>
        <w:numPr>
          <w:ilvl w:val="0"/>
          <w:numId w:val="10"/>
        </w:numPr>
        <w:spacing w:after="0"/>
        <w:rPr>
          <w:bCs/>
        </w:rPr>
      </w:pPr>
      <w:r>
        <w:rPr>
          <w:bCs/>
        </w:rPr>
        <w:t>Yeboah ED, Mante SD, Klufio GO, Kyei MY, Mensah JE. Changing Patterns of acute Retention of Urine. BJ Urol Int. 2000</w:t>
      </w:r>
      <w:proofErr w:type="gramStart"/>
      <w:r>
        <w:rPr>
          <w:bCs/>
        </w:rPr>
        <w:t>;86</w:t>
      </w:r>
      <w:proofErr w:type="gramEnd"/>
      <w:r>
        <w:rPr>
          <w:bCs/>
        </w:rPr>
        <w:t>(Suppl 3):99.</w:t>
      </w:r>
    </w:p>
    <w:p w:rsidR="004A70F6" w:rsidRDefault="004A70F6" w:rsidP="004A70F6">
      <w:pPr>
        <w:pStyle w:val="ListParagraph"/>
        <w:numPr>
          <w:ilvl w:val="0"/>
          <w:numId w:val="10"/>
        </w:numPr>
        <w:spacing w:after="0"/>
        <w:rPr>
          <w:bCs/>
        </w:rPr>
      </w:pPr>
      <w:r>
        <w:rPr>
          <w:bCs/>
        </w:rPr>
        <w:t>Mante SD, Yeboah ED, Adusei B, Klufio GO, Gepi-Attee S, Kyei MY, Mensah JE. Changing patterns of causes of haematuria in Ghana. Postgraduate Medical Journal  Ghana in Press (2016)</w:t>
      </w:r>
    </w:p>
    <w:p w:rsidR="004A70F6" w:rsidRDefault="004A70F6" w:rsidP="004A70F6">
      <w:pPr>
        <w:pStyle w:val="ListParagraph"/>
        <w:numPr>
          <w:ilvl w:val="0"/>
          <w:numId w:val="10"/>
        </w:numPr>
        <w:spacing w:after="0"/>
        <w:rPr>
          <w:bCs/>
        </w:rPr>
      </w:pPr>
      <w:r>
        <w:rPr>
          <w:bCs/>
        </w:rPr>
        <w:t>Yeboah ED.JB Danquah Memorial Lecture – GAAS Series 2013</w:t>
      </w:r>
      <w:proofErr w:type="gramStart"/>
      <w:r>
        <w:rPr>
          <w:bCs/>
        </w:rPr>
        <w:t>;42:86</w:t>
      </w:r>
      <w:proofErr w:type="gramEnd"/>
      <w:r>
        <w:rPr>
          <w:bCs/>
        </w:rPr>
        <w:t xml:space="preserve">–100. </w:t>
      </w:r>
    </w:p>
    <w:p w:rsidR="004A70F6" w:rsidRDefault="004A70F6" w:rsidP="004A70F6">
      <w:pPr>
        <w:pStyle w:val="ListParagraph"/>
        <w:numPr>
          <w:ilvl w:val="0"/>
          <w:numId w:val="10"/>
        </w:numPr>
        <w:spacing w:after="0"/>
        <w:rPr>
          <w:bCs/>
        </w:rPr>
      </w:pPr>
      <w:r>
        <w:rPr>
          <w:bCs/>
        </w:rPr>
        <w:t xml:space="preserve">Chokkalingam AP, Yeboah ED, De Marzo A, Netto G, Yu K, Biritwum RB, Tettey Y, Adjei A, Jadallah S, Li Y, Chu LW, Niwa S, Partin A, Thompson IM, Roehborn C, Hoover RN and Hsing AW. Prevalence of BPH and lower urinary tract symptoms in West </w:t>
      </w:r>
      <w:r>
        <w:rPr>
          <w:bCs/>
        </w:rPr>
        <w:br/>
        <w:t>Africans. Prostate cancer and prostatic diseases. 2012</w:t>
      </w:r>
      <w:proofErr w:type="gramStart"/>
      <w:r>
        <w:rPr>
          <w:bCs/>
        </w:rPr>
        <w:t>;15</w:t>
      </w:r>
      <w:proofErr w:type="gramEnd"/>
      <w:r>
        <w:rPr>
          <w:bCs/>
        </w:rPr>
        <w:t xml:space="preserve">(2):170–176. </w:t>
      </w:r>
    </w:p>
    <w:p w:rsidR="004A70F6" w:rsidRDefault="004A70F6" w:rsidP="004A70F6">
      <w:pPr>
        <w:pStyle w:val="ListParagraph"/>
        <w:numPr>
          <w:ilvl w:val="0"/>
          <w:numId w:val="10"/>
        </w:numPr>
        <w:spacing w:after="0"/>
        <w:rPr>
          <w:bCs/>
        </w:rPr>
      </w:pPr>
      <w:r>
        <w:rPr>
          <w:bCs/>
        </w:rPr>
        <w:t xml:space="preserve">Yeboah ED, Hsing AW, Tettey Y, Biritwum RB, Adjei AA, (2009)Prostate cancer screening in Ghana”, Urol Vol. 2009;74Suppl 1(4):200–201. </w:t>
      </w:r>
    </w:p>
    <w:p w:rsidR="004A70F6" w:rsidRDefault="004A70F6" w:rsidP="004A70F6">
      <w:pPr>
        <w:pStyle w:val="ListParagraph"/>
        <w:numPr>
          <w:ilvl w:val="0"/>
          <w:numId w:val="10"/>
        </w:numPr>
        <w:spacing w:after="0"/>
        <w:rPr>
          <w:bCs/>
        </w:rPr>
      </w:pPr>
      <w:r>
        <w:rPr>
          <w:bCs/>
        </w:rPr>
        <w:t>Hsing AW, Yeboah ED, Biritwum RB, Tettey Y, Adjei A, et al. High prevalence of screen detected prostate cancer in West African Men, Implications for Racial Disparity in Prostate Cancer. J Urol. 2014</w:t>
      </w:r>
      <w:proofErr w:type="gramStart"/>
      <w:r>
        <w:rPr>
          <w:bCs/>
        </w:rPr>
        <w:t>;192</w:t>
      </w:r>
      <w:proofErr w:type="gramEnd"/>
      <w:r>
        <w:rPr>
          <w:bCs/>
        </w:rPr>
        <w:t xml:space="preserve">(3):730–735. </w:t>
      </w:r>
    </w:p>
    <w:p w:rsidR="004A70F6" w:rsidRDefault="004A70F6" w:rsidP="004A70F6">
      <w:pPr>
        <w:pStyle w:val="ListParagraph"/>
        <w:numPr>
          <w:ilvl w:val="0"/>
          <w:numId w:val="10"/>
        </w:numPr>
        <w:spacing w:after="0"/>
        <w:rPr>
          <w:bCs/>
        </w:rPr>
      </w:pPr>
      <w:r>
        <w:rPr>
          <w:bCs/>
        </w:rPr>
        <w:t>Richey J, Biritwum RB, Yeboah ED, Tettey Y, Adjei A, Chokkalingam AP, Quraishi S, Hsing AW. Body size and other epidemiologic characteristics in West African Men, Implications for Racial Disparity in Prostate Cancer”, American Journal of Epidemiology. 2008.</w:t>
      </w:r>
    </w:p>
    <w:p w:rsidR="004A70F6" w:rsidRDefault="004A70F6" w:rsidP="004A70F6">
      <w:pPr>
        <w:pStyle w:val="ListParagraph"/>
        <w:numPr>
          <w:ilvl w:val="0"/>
          <w:numId w:val="10"/>
        </w:numPr>
        <w:spacing w:after="0"/>
        <w:rPr>
          <w:bCs/>
        </w:rPr>
      </w:pPr>
      <w:r>
        <w:rPr>
          <w:bCs/>
        </w:rPr>
        <w:t>Chung CC, Hsing AW, Yeboah ED, Biritwum RB, Tettey Y, Adjei AA, Cook MB, Merzo AD, et al. Comprehensive resequence analysis of 250kb region of 8q24.1 in men with African Ancestry”, Prostate. 2014</w:t>
      </w:r>
      <w:proofErr w:type="gramStart"/>
      <w:r>
        <w:rPr>
          <w:bCs/>
        </w:rPr>
        <w:t>;74:579</w:t>
      </w:r>
      <w:proofErr w:type="gramEnd"/>
      <w:r>
        <w:rPr>
          <w:bCs/>
        </w:rPr>
        <w:t xml:space="preserve">–589. </w:t>
      </w:r>
    </w:p>
    <w:p w:rsidR="004A70F6" w:rsidRDefault="004A70F6" w:rsidP="004A70F6">
      <w:pPr>
        <w:pStyle w:val="ListParagraph"/>
        <w:numPr>
          <w:ilvl w:val="0"/>
          <w:numId w:val="10"/>
        </w:numPr>
        <w:spacing w:after="0"/>
        <w:rPr>
          <w:bCs/>
        </w:rPr>
      </w:pPr>
      <w:r>
        <w:rPr>
          <w:bCs/>
        </w:rPr>
        <w:t>Chang BL, Spangher E, Haiman CA, Henderson B, William N, Benford MA,  Hsing AW et al. Validation of Genome wide prostate cancer Association in men of African Descent Cancer Epidemiology Biomarkers + Prevention. 2011</w:t>
      </w:r>
      <w:proofErr w:type="gramStart"/>
      <w:r>
        <w:rPr>
          <w:bCs/>
        </w:rPr>
        <w:t>;20</w:t>
      </w:r>
      <w:proofErr w:type="gramEnd"/>
      <w:r>
        <w:rPr>
          <w:bCs/>
        </w:rPr>
        <w:t xml:space="preserve">(1):23–32. </w:t>
      </w:r>
    </w:p>
    <w:p w:rsidR="004A70F6" w:rsidRDefault="004A70F6" w:rsidP="004A70F6">
      <w:pPr>
        <w:pStyle w:val="ListParagraph"/>
        <w:numPr>
          <w:ilvl w:val="0"/>
          <w:numId w:val="10"/>
        </w:numPr>
        <w:spacing w:after="0"/>
        <w:rPr>
          <w:bCs/>
        </w:rPr>
      </w:pPr>
      <w:r>
        <w:rPr>
          <w:bCs/>
        </w:rPr>
        <w:t>Cook MB, Wang Z, Yeboah ED, Adjei AA, Tettey Y, Biritwum RB et al. Genome wide Association study of PC in West African Men.  Hum Genet. 2014</w:t>
      </w:r>
      <w:proofErr w:type="gramStart"/>
      <w:r>
        <w:rPr>
          <w:bCs/>
        </w:rPr>
        <w:t>;13:133:509</w:t>
      </w:r>
      <w:proofErr w:type="gramEnd"/>
      <w:r>
        <w:rPr>
          <w:bCs/>
        </w:rPr>
        <w:t xml:space="preserve">–521. </w:t>
      </w:r>
    </w:p>
    <w:p w:rsidR="004A70F6" w:rsidRDefault="004A70F6" w:rsidP="004A70F6">
      <w:pPr>
        <w:pStyle w:val="ListParagraph"/>
        <w:numPr>
          <w:ilvl w:val="0"/>
          <w:numId w:val="10"/>
        </w:numPr>
        <w:spacing w:after="0"/>
        <w:rPr>
          <w:bCs/>
        </w:rPr>
      </w:pPr>
      <w:r>
        <w:rPr>
          <w:bCs/>
        </w:rPr>
        <w:t>Wang G, Cook MB, Zu B, Zhang M, Adjei AA, Biritwum RB  et al. Imputation and subset based association, analysis across different cancer identifies multiple independent risk loci in TERTcLPML of chromosome 5p15.33”, Human Molecular Genetics 2014;23(24):1–18.</w:t>
      </w:r>
    </w:p>
    <w:p w:rsidR="004A70F6" w:rsidRDefault="004A70F6" w:rsidP="004A70F6">
      <w:pPr>
        <w:pStyle w:val="ListParagraph"/>
        <w:numPr>
          <w:ilvl w:val="0"/>
          <w:numId w:val="10"/>
        </w:numPr>
        <w:spacing w:after="0"/>
        <w:rPr>
          <w:bCs/>
        </w:rPr>
      </w:pPr>
      <w:r>
        <w:rPr>
          <w:bCs/>
        </w:rPr>
        <w:t xml:space="preserve">AL Olama AA, Kote Jarez, Brendt, Schumacher F, Bealtoch S, Hazelett DJ, Wang Z et al. A meta </w:t>
      </w:r>
      <w:proofErr w:type="gramStart"/>
      <w:r>
        <w:rPr>
          <w:bCs/>
        </w:rPr>
        <w:t>analysis  of</w:t>
      </w:r>
      <w:proofErr w:type="gramEnd"/>
      <w:r>
        <w:rPr>
          <w:bCs/>
        </w:rPr>
        <w:t xml:space="preserve"> 87,040 cases of PC indentifies 23 susceptibility cocci” Prostate cancer Nat Genet 2014; 46(10):103–1109. </w:t>
      </w:r>
    </w:p>
    <w:p w:rsidR="004A70F6" w:rsidRDefault="004A70F6" w:rsidP="004A70F6">
      <w:pPr>
        <w:pStyle w:val="ListParagraph"/>
        <w:numPr>
          <w:ilvl w:val="0"/>
          <w:numId w:val="10"/>
        </w:numPr>
        <w:spacing w:after="0"/>
        <w:rPr>
          <w:bCs/>
        </w:rPr>
      </w:pPr>
      <w:r>
        <w:rPr>
          <w:bCs/>
        </w:rPr>
        <w:lastRenderedPageBreak/>
        <w:t>Haiman CA, Chen GK, Yeboah ED, Tettey Y, Adjei AA, Biritwum RB et al. Genome wide association study of prostate cancer in Men of African Ancestry identifies locus 17q21. Nature Genetics. 2011</w:t>
      </w:r>
      <w:proofErr w:type="gramStart"/>
      <w:r>
        <w:rPr>
          <w:bCs/>
        </w:rPr>
        <w:t>;570</w:t>
      </w:r>
      <w:proofErr w:type="gramEnd"/>
      <w:r>
        <w:rPr>
          <w:bCs/>
        </w:rPr>
        <w:t>–573.</w:t>
      </w:r>
    </w:p>
    <w:p w:rsidR="004A70F6" w:rsidRDefault="004A70F6" w:rsidP="004A70F6">
      <w:pPr>
        <w:pStyle w:val="ListParagraph"/>
        <w:numPr>
          <w:ilvl w:val="0"/>
          <w:numId w:val="10"/>
        </w:numPr>
        <w:spacing w:after="0"/>
        <w:rPr>
          <w:bCs/>
        </w:rPr>
      </w:pPr>
      <w:r>
        <w:rPr>
          <w:bCs/>
        </w:rPr>
        <w:t xml:space="preserve">Ferlay J, Soerjomataram J, Evik M, Dikshit R, Eser S, Mathers C, Rebelo M, Parkin DM, Forman D, Bray F GLOBOCAN (2012) vi “Cancer incidence and mortality Worldwide” IARC cancer base No. 11 Internet Lyon France IARC 2013 Available http globocan.iarc.fr             </w:t>
      </w:r>
    </w:p>
    <w:p w:rsidR="004A70F6" w:rsidRDefault="004A70F6" w:rsidP="004A70F6">
      <w:pPr>
        <w:pStyle w:val="ListParagraph"/>
        <w:numPr>
          <w:ilvl w:val="0"/>
          <w:numId w:val="10"/>
        </w:numPr>
        <w:spacing w:after="0"/>
        <w:rPr>
          <w:bCs/>
        </w:rPr>
      </w:pPr>
      <w:r>
        <w:rPr>
          <w:bCs/>
        </w:rPr>
        <w:t>Surveillance Epidemiology Age Adjusted Cancer incidence in men in United States 1975 – 2005 “Surveillance Epidemiology and End Results” Program (SEER) Division of cancer control and population sciences.  National Cancer Institute USA.</w:t>
      </w:r>
    </w:p>
    <w:p w:rsidR="004A70F6" w:rsidRDefault="004A70F6" w:rsidP="004A70F6">
      <w:pPr>
        <w:pStyle w:val="ListParagraph"/>
        <w:numPr>
          <w:ilvl w:val="0"/>
          <w:numId w:val="10"/>
        </w:numPr>
        <w:spacing w:after="0"/>
        <w:rPr>
          <w:bCs/>
        </w:rPr>
      </w:pPr>
      <w:r>
        <w:rPr>
          <w:bCs/>
        </w:rPr>
        <w:t>Thompson IM, Pauler DK, Goodman PJ, Tangen CM, Lucia MS, Parnes HL, Minasiah LM, Ford LG, Lippman SM, Crawford ED, Crowley JJ, Coltman CA Jr (2004), “Prevalence of PC among men with PSA &lt; or = 4ng/ml” New Eng Journal Medicine. 2004</w:t>
      </w:r>
      <w:proofErr w:type="gramStart"/>
      <w:r>
        <w:rPr>
          <w:bCs/>
        </w:rPr>
        <w:t>;Sept</w:t>
      </w:r>
      <w:proofErr w:type="gramEnd"/>
      <w:r>
        <w:rPr>
          <w:bCs/>
        </w:rPr>
        <w:t xml:space="preserve"> 30 351;(22):2239–2246. </w:t>
      </w:r>
    </w:p>
    <w:p w:rsidR="004A70F6" w:rsidRDefault="004A70F6" w:rsidP="004A70F6">
      <w:pPr>
        <w:pStyle w:val="ListParagraph"/>
        <w:numPr>
          <w:ilvl w:val="0"/>
          <w:numId w:val="10"/>
        </w:numPr>
        <w:spacing w:after="0"/>
        <w:rPr>
          <w:bCs/>
        </w:rPr>
      </w:pPr>
      <w:r>
        <w:rPr>
          <w:bCs/>
        </w:rPr>
        <w:t>Delongchamps NB, Singh A, Haas G. Epidemiology of prostate cancer in Africa.  Another step in the understanding of the disease. Curr Publ cancer. 2007:31(2):226–236.</w:t>
      </w:r>
    </w:p>
    <w:p w:rsidR="004A70F6" w:rsidRDefault="004A70F6" w:rsidP="004A70F6">
      <w:pPr>
        <w:pStyle w:val="ListParagraph"/>
        <w:numPr>
          <w:ilvl w:val="0"/>
          <w:numId w:val="10"/>
        </w:numPr>
        <w:spacing w:after="0"/>
        <w:rPr>
          <w:bCs/>
        </w:rPr>
      </w:pPr>
      <w:r>
        <w:rPr>
          <w:bCs/>
        </w:rPr>
        <w:t>Jackson MA, Kovi J, Heshmat MY, Ogunnuviwa TA, Jones GW, William AO, Christian EC, Nkposong EO, Rao MS, Jackson AG, Ahlumallian BS. Characterisation of prostate carcinoma among blacks – a comparison between low incidence area IBADAN Nigeria and high incidence area Washington DC 1980. Prostate. 1980</w:t>
      </w:r>
      <w:proofErr w:type="gramStart"/>
      <w:r>
        <w:rPr>
          <w:bCs/>
        </w:rPr>
        <w:t>;:</w:t>
      </w:r>
      <w:proofErr w:type="gramEnd"/>
      <w:r>
        <w:rPr>
          <w:bCs/>
        </w:rPr>
        <w:t>1(2):185–205.</w:t>
      </w:r>
    </w:p>
    <w:p w:rsidR="004A70F6" w:rsidRDefault="004A70F6" w:rsidP="004A70F6">
      <w:pPr>
        <w:pStyle w:val="ListParagraph"/>
        <w:numPr>
          <w:ilvl w:val="0"/>
          <w:numId w:val="10"/>
        </w:numPr>
        <w:spacing w:after="0"/>
        <w:rPr>
          <w:bCs/>
        </w:rPr>
      </w:pPr>
      <w:r>
        <w:rPr>
          <w:bCs/>
        </w:rPr>
        <w:t>Heyns CF, Fisher M, Lecuona A, Merwl A, Vander. Prostate cancer among different racial groups in the Western Cape.  Presenting features and management. SAMJ. 2011</w:t>
      </w:r>
      <w:proofErr w:type="gramStart"/>
      <w:r>
        <w:rPr>
          <w:bCs/>
        </w:rPr>
        <w:t>;101:267</w:t>
      </w:r>
      <w:proofErr w:type="gramEnd"/>
      <w:r>
        <w:rPr>
          <w:bCs/>
        </w:rPr>
        <w:t>–270.</w:t>
      </w:r>
    </w:p>
    <w:p w:rsidR="004A70F6" w:rsidRDefault="004A70F6" w:rsidP="004A70F6">
      <w:pPr>
        <w:pStyle w:val="ListParagraph"/>
        <w:numPr>
          <w:ilvl w:val="0"/>
          <w:numId w:val="10"/>
        </w:numPr>
        <w:spacing w:after="0"/>
        <w:rPr>
          <w:bCs/>
        </w:rPr>
      </w:pPr>
      <w:r>
        <w:rPr>
          <w:bCs/>
        </w:rPr>
        <w:t>Osegbe DN. Prostate cancer in Nigeria, facts and nonfacts”, J Urol. 1997</w:t>
      </w:r>
      <w:proofErr w:type="gramStart"/>
      <w:r>
        <w:rPr>
          <w:bCs/>
        </w:rPr>
        <w:t>;157:1340</w:t>
      </w:r>
      <w:proofErr w:type="gramEnd"/>
      <w:r>
        <w:rPr>
          <w:bCs/>
        </w:rPr>
        <w:t>–1343.</w:t>
      </w:r>
    </w:p>
    <w:p w:rsidR="004A70F6" w:rsidRDefault="004A70F6" w:rsidP="004A70F6">
      <w:pPr>
        <w:pStyle w:val="ListParagraph"/>
        <w:numPr>
          <w:ilvl w:val="0"/>
          <w:numId w:val="10"/>
        </w:numPr>
        <w:spacing w:after="0"/>
        <w:rPr>
          <w:bCs/>
        </w:rPr>
      </w:pPr>
      <w:r>
        <w:rPr>
          <w:bCs/>
        </w:rPr>
        <w:t>Haas GP, Delongchamps N, Brawley OW, Wang CY, Dela Roza G. World Wide Epidemiology of Prostate cancer perspective from autopsy studies. Can J Urology. 2008</w:t>
      </w:r>
      <w:proofErr w:type="gramStart"/>
      <w:r>
        <w:rPr>
          <w:bCs/>
        </w:rPr>
        <w:t>;15:3866</w:t>
      </w:r>
      <w:proofErr w:type="gramEnd"/>
      <w:r>
        <w:rPr>
          <w:bCs/>
        </w:rPr>
        <w:t xml:space="preserve">–3871. </w:t>
      </w:r>
    </w:p>
    <w:p w:rsidR="004A70F6" w:rsidRDefault="004A70F6" w:rsidP="004A70F6">
      <w:pPr>
        <w:pStyle w:val="ListParagraph"/>
        <w:numPr>
          <w:ilvl w:val="0"/>
          <w:numId w:val="10"/>
        </w:numPr>
        <w:spacing w:after="0"/>
        <w:rPr>
          <w:bCs/>
        </w:rPr>
      </w:pPr>
      <w:r>
        <w:rPr>
          <w:bCs/>
        </w:rPr>
        <w:t>Guess HA, Arright HM, Metter EJ, Fozard JL. Cumulative prevalence of prostatism matches autopsy prevalence of benign hyperplasia. PROSTATE. 1990</w:t>
      </w:r>
      <w:proofErr w:type="gramStart"/>
      <w:r>
        <w:rPr>
          <w:bCs/>
        </w:rPr>
        <w:t>;17:241</w:t>
      </w:r>
      <w:proofErr w:type="gramEnd"/>
      <w:r>
        <w:rPr>
          <w:bCs/>
        </w:rPr>
        <w:t xml:space="preserve">–246. </w:t>
      </w:r>
    </w:p>
    <w:p w:rsidR="004A70F6" w:rsidRDefault="004A70F6" w:rsidP="004A70F6">
      <w:pPr>
        <w:pStyle w:val="ListParagraph"/>
        <w:numPr>
          <w:ilvl w:val="0"/>
          <w:numId w:val="10"/>
        </w:numPr>
        <w:spacing w:after="0"/>
        <w:rPr>
          <w:bCs/>
        </w:rPr>
      </w:pPr>
      <w:r>
        <w:rPr>
          <w:bCs/>
        </w:rPr>
        <w:t xml:space="preserve">Nashlund MJ, Gilsenan AW, Midkiff KD, Brown </w:t>
      </w:r>
      <w:proofErr w:type="gramStart"/>
      <w:r>
        <w:rPr>
          <w:bCs/>
        </w:rPr>
        <w:t>A</w:t>
      </w:r>
      <w:proofErr w:type="gramEnd"/>
      <w:r>
        <w:rPr>
          <w:bCs/>
        </w:rPr>
        <w:t>, Wolford ET, Wang J. Prevalence of lower urinary tract symptoms and prostate enlargement in primary care setting. Int J Clin Prait. 2007</w:t>
      </w:r>
      <w:proofErr w:type="gramStart"/>
      <w:r>
        <w:rPr>
          <w:bCs/>
        </w:rPr>
        <w:t>;61:1347</w:t>
      </w:r>
      <w:proofErr w:type="gramEnd"/>
      <w:r>
        <w:rPr>
          <w:bCs/>
        </w:rPr>
        <w:t xml:space="preserve">–1445. </w:t>
      </w:r>
    </w:p>
    <w:p w:rsidR="004A70F6" w:rsidRDefault="004A70F6" w:rsidP="004A70F6">
      <w:pPr>
        <w:pStyle w:val="ListParagraph"/>
        <w:numPr>
          <w:ilvl w:val="0"/>
          <w:numId w:val="10"/>
        </w:numPr>
        <w:spacing w:after="0"/>
        <w:rPr>
          <w:bCs/>
        </w:rPr>
      </w:pPr>
      <w:r>
        <w:rPr>
          <w:bCs/>
        </w:rPr>
        <w:t>Trueman P, Hood SC, Nayak US, Mirazek MF. Prevalence of lower urinary tract symptoms and self reported diagnosed benign prostatic hyperplasia and their effect on quality of life in a community based survey of men in UK. BJU Int. 1999</w:t>
      </w:r>
      <w:proofErr w:type="gramStart"/>
      <w:r>
        <w:rPr>
          <w:bCs/>
        </w:rPr>
        <w:t>;83:410</w:t>
      </w:r>
      <w:proofErr w:type="gramEnd"/>
      <w:r>
        <w:rPr>
          <w:bCs/>
        </w:rPr>
        <w:t xml:space="preserve">–415. </w:t>
      </w:r>
    </w:p>
    <w:p w:rsidR="004A70F6" w:rsidRDefault="004A70F6" w:rsidP="004A70F6">
      <w:pPr>
        <w:pStyle w:val="ListParagraph"/>
        <w:numPr>
          <w:ilvl w:val="0"/>
          <w:numId w:val="10"/>
        </w:numPr>
        <w:spacing w:after="0"/>
        <w:rPr>
          <w:bCs/>
        </w:rPr>
      </w:pPr>
      <w:r>
        <w:rPr>
          <w:bCs/>
        </w:rPr>
        <w:t xml:space="preserve">Rosen R, Altwein J, Boyle P, Kirby RS, Lukass B, Meuleman E et al. Lower urinary tract symptoms and male sexual dysfunction: the multinational survey of aging male (MSAM). Euro Urol. 2003;44:637–649 </w:t>
      </w:r>
    </w:p>
    <w:p w:rsidR="004A70F6" w:rsidRDefault="004A70F6" w:rsidP="004A70F6">
      <w:pPr>
        <w:pStyle w:val="ListParagraph"/>
        <w:numPr>
          <w:ilvl w:val="0"/>
          <w:numId w:val="10"/>
        </w:numPr>
        <w:spacing w:after="0"/>
        <w:rPr>
          <w:bCs/>
        </w:rPr>
      </w:pPr>
      <w:r>
        <w:rPr>
          <w:bCs/>
        </w:rPr>
        <w:t xml:space="preserve">Sarma AV, Wei JT, Jacobson DJ, Dunn RL, Roberts RO, Girman CJ, et al. Comparison of lower urinary tract symptoms severity and associated bother between community dwelling black and white men: </w:t>
      </w:r>
      <w:proofErr w:type="gramStart"/>
      <w:r>
        <w:rPr>
          <w:bCs/>
        </w:rPr>
        <w:t>the Olmstead county</w:t>
      </w:r>
      <w:proofErr w:type="gramEnd"/>
      <w:r>
        <w:rPr>
          <w:bCs/>
        </w:rPr>
        <w:t xml:space="preserve"> study of urinary symptoms and Health Status and the Flint Mens Health Study. Urology. 2003</w:t>
      </w:r>
      <w:proofErr w:type="gramStart"/>
      <w:r>
        <w:rPr>
          <w:bCs/>
        </w:rPr>
        <w:t>;61:1086</w:t>
      </w:r>
      <w:proofErr w:type="gramEnd"/>
      <w:r>
        <w:rPr>
          <w:bCs/>
        </w:rPr>
        <w:t xml:space="preserve">–1091. </w:t>
      </w:r>
    </w:p>
    <w:p w:rsidR="004A70F6" w:rsidRDefault="004A70F6" w:rsidP="004A70F6">
      <w:pPr>
        <w:pStyle w:val="ListParagraph"/>
        <w:numPr>
          <w:ilvl w:val="0"/>
          <w:numId w:val="10"/>
        </w:numPr>
        <w:spacing w:after="0"/>
        <w:rPr>
          <w:bCs/>
        </w:rPr>
      </w:pPr>
      <w:r>
        <w:rPr>
          <w:bCs/>
        </w:rPr>
        <w:t>Taub DA, Wei JT. The economics of benign prostatic hyperplasia and lower urinary tract symptoms in Unites States of America Curr Urol Rep. 2006;7(4):272–281.</w:t>
      </w:r>
    </w:p>
    <w:p w:rsidR="004A70F6" w:rsidRDefault="004A70F6" w:rsidP="004A70F6">
      <w:pPr>
        <w:pStyle w:val="ListParagraph"/>
        <w:numPr>
          <w:ilvl w:val="0"/>
          <w:numId w:val="10"/>
        </w:numPr>
        <w:spacing w:after="0"/>
        <w:rPr>
          <w:bCs/>
        </w:rPr>
      </w:pPr>
      <w:r>
        <w:rPr>
          <w:bCs/>
        </w:rPr>
        <w:t>Saigal CS, Joyce G. Economic costs of benign prostatic hyperplasia in private sector. J Urol. 2005</w:t>
      </w:r>
      <w:proofErr w:type="gramStart"/>
      <w:r>
        <w:rPr>
          <w:bCs/>
        </w:rPr>
        <w:t>;173</w:t>
      </w:r>
      <w:proofErr w:type="gramEnd"/>
      <w:r>
        <w:rPr>
          <w:bCs/>
        </w:rPr>
        <w:t xml:space="preserve">(4):1309–1313. </w:t>
      </w:r>
    </w:p>
    <w:p w:rsidR="004A70F6" w:rsidRDefault="004A70F6" w:rsidP="004A70F6">
      <w:pPr>
        <w:pStyle w:val="ListParagraph"/>
        <w:numPr>
          <w:ilvl w:val="0"/>
          <w:numId w:val="10"/>
        </w:numPr>
        <w:spacing w:after="0"/>
        <w:rPr>
          <w:bCs/>
        </w:rPr>
      </w:pPr>
      <w:r>
        <w:rPr>
          <w:bCs/>
        </w:rPr>
        <w:lastRenderedPageBreak/>
        <w:t>Andriole GL, Levin DL, Crawford ED et al.Prostate cancer screening in prostate, lung, colorectal and ovarian (PLCO) cancer screening Trial.  Findings from initial screening of randomized trial. JNCI. 2005</w:t>
      </w:r>
      <w:proofErr w:type="gramStart"/>
      <w:r>
        <w:rPr>
          <w:bCs/>
        </w:rPr>
        <w:t>;97</w:t>
      </w:r>
      <w:proofErr w:type="gramEnd"/>
      <w:r>
        <w:rPr>
          <w:bCs/>
        </w:rPr>
        <w:t>(6):1–10.</w:t>
      </w:r>
    </w:p>
    <w:p w:rsidR="004A70F6" w:rsidRDefault="004A70F6" w:rsidP="004A70F6">
      <w:pPr>
        <w:pStyle w:val="ListParagraph"/>
        <w:numPr>
          <w:ilvl w:val="0"/>
          <w:numId w:val="10"/>
        </w:numPr>
        <w:spacing w:after="0"/>
        <w:rPr>
          <w:bCs/>
        </w:rPr>
      </w:pPr>
      <w:r>
        <w:rPr>
          <w:bCs/>
        </w:rPr>
        <w:t>Weinrich JE. Urinary symptoms as predictor of participation in prostate cancer screening among African American Men. PROSTATE. 1998</w:t>
      </w:r>
      <w:proofErr w:type="gramStart"/>
      <w:r>
        <w:rPr>
          <w:bCs/>
        </w:rPr>
        <w:t>;37:215</w:t>
      </w:r>
      <w:proofErr w:type="gramEnd"/>
      <w:r>
        <w:rPr>
          <w:bCs/>
        </w:rPr>
        <w:t>–222.</w:t>
      </w:r>
    </w:p>
    <w:p w:rsidR="004A70F6" w:rsidRDefault="004A70F6" w:rsidP="004A70F6">
      <w:pPr>
        <w:pStyle w:val="ListParagraph"/>
        <w:numPr>
          <w:ilvl w:val="0"/>
          <w:numId w:val="10"/>
        </w:numPr>
        <w:spacing w:after="0"/>
        <w:rPr>
          <w:bCs/>
        </w:rPr>
      </w:pPr>
      <w:r>
        <w:rPr>
          <w:bCs/>
        </w:rPr>
        <w:t>Cooney K, Herrings SG, Alcser KH, Doer K, Medbury B, and Schonfield R (2001), “Potential selection bias in a community based study of PSA levels in African American men”. Journal Clinical Epidemiology. 2001</w:t>
      </w:r>
      <w:proofErr w:type="gramStart"/>
      <w:r>
        <w:rPr>
          <w:bCs/>
        </w:rPr>
        <w:t>;542:142</w:t>
      </w:r>
      <w:proofErr w:type="gramEnd"/>
      <w:r>
        <w:rPr>
          <w:bCs/>
        </w:rPr>
        <w:t>–148.</w:t>
      </w:r>
    </w:p>
    <w:p w:rsidR="004A70F6" w:rsidRDefault="004A70F6" w:rsidP="004A70F6">
      <w:pPr>
        <w:pStyle w:val="ListParagraph"/>
        <w:numPr>
          <w:ilvl w:val="0"/>
          <w:numId w:val="10"/>
        </w:numPr>
        <w:spacing w:after="0"/>
        <w:rPr>
          <w:bCs/>
        </w:rPr>
      </w:pPr>
      <w:r>
        <w:rPr>
          <w:bCs/>
        </w:rPr>
        <w:t>Powell IJ, Helibrun L, Littrup PL, Franklin A, Parcuchowski J, Gelfend D, Sakr W. Outcome of African American men screened for prostate cancer, Detroit Education and Early detection (DEED) study. J Urol. 1997</w:t>
      </w:r>
      <w:proofErr w:type="gramStart"/>
      <w:r>
        <w:rPr>
          <w:bCs/>
        </w:rPr>
        <w:t>;158</w:t>
      </w:r>
      <w:proofErr w:type="gramEnd"/>
      <w:r>
        <w:rPr>
          <w:bCs/>
        </w:rPr>
        <w:t>(1):146–149.</w:t>
      </w:r>
    </w:p>
    <w:p w:rsidR="004A70F6" w:rsidRDefault="004A70F6" w:rsidP="004A70F6">
      <w:pPr>
        <w:pStyle w:val="ListParagraph"/>
        <w:numPr>
          <w:ilvl w:val="0"/>
          <w:numId w:val="10"/>
        </w:numPr>
        <w:spacing w:after="0"/>
        <w:rPr>
          <w:bCs/>
        </w:rPr>
      </w:pPr>
      <w:r>
        <w:rPr>
          <w:bCs/>
        </w:rPr>
        <w:t>Smith D, Bullock AD, Catalona WJ and Herschman. Racial Differences in prostate cancer screening Study. J Urol. 1996</w:t>
      </w:r>
      <w:proofErr w:type="gramStart"/>
      <w:r>
        <w:rPr>
          <w:bCs/>
        </w:rPr>
        <w:t>;156:1366</w:t>
      </w:r>
      <w:proofErr w:type="gramEnd"/>
      <w:r>
        <w:rPr>
          <w:bCs/>
        </w:rPr>
        <w:t>–1369.</w:t>
      </w:r>
    </w:p>
    <w:p w:rsidR="004A70F6" w:rsidRDefault="004A70F6" w:rsidP="004A70F6">
      <w:pPr>
        <w:pStyle w:val="ListParagraph"/>
        <w:numPr>
          <w:ilvl w:val="0"/>
          <w:numId w:val="10"/>
        </w:numPr>
        <w:spacing w:after="0"/>
        <w:rPr>
          <w:bCs/>
        </w:rPr>
      </w:pPr>
      <w:r>
        <w:rPr>
          <w:bCs/>
        </w:rPr>
        <w:t>Bunker CH, Patrick AL, Konotey BR, et al (2002), “High prevalence of screening detected prostate cancer among Afro-Caribbeans.  The Tobago prostate cancer survey”, Cancer Epidemiology Biomarkers and prevention. 2002</w:t>
      </w:r>
      <w:proofErr w:type="gramStart"/>
      <w:r>
        <w:rPr>
          <w:bCs/>
        </w:rPr>
        <w:t>;III</w:t>
      </w:r>
      <w:proofErr w:type="gramEnd"/>
      <w:r>
        <w:rPr>
          <w:bCs/>
        </w:rPr>
        <w:t>(8):726–729.</w:t>
      </w:r>
    </w:p>
    <w:p w:rsidR="004A70F6" w:rsidRDefault="004A70F6" w:rsidP="004A70F6">
      <w:pPr>
        <w:pStyle w:val="ListParagraph"/>
        <w:numPr>
          <w:ilvl w:val="0"/>
          <w:numId w:val="10"/>
        </w:numPr>
        <w:spacing w:after="0"/>
        <w:rPr>
          <w:bCs/>
        </w:rPr>
      </w:pPr>
      <w:r>
        <w:rPr>
          <w:bCs/>
        </w:rPr>
        <w:t>Angwafo Fru. Migration and prostate cancer characteristics.  An International Perspective” Journal National Med Association. 1998</w:t>
      </w:r>
      <w:proofErr w:type="gramStart"/>
      <w:r>
        <w:rPr>
          <w:bCs/>
        </w:rPr>
        <w:t>;90</w:t>
      </w:r>
      <w:proofErr w:type="gramEnd"/>
      <w:r>
        <w:rPr>
          <w:bCs/>
        </w:rPr>
        <w:t>(11):5720–5723.</w:t>
      </w:r>
    </w:p>
    <w:p w:rsidR="004A70F6" w:rsidRDefault="004A70F6" w:rsidP="004A70F6">
      <w:pPr>
        <w:pStyle w:val="ListParagraph"/>
        <w:numPr>
          <w:ilvl w:val="0"/>
          <w:numId w:val="10"/>
        </w:numPr>
        <w:spacing w:after="0"/>
        <w:rPr>
          <w:bCs/>
        </w:rPr>
      </w:pPr>
      <w:r>
        <w:rPr>
          <w:bCs/>
        </w:rPr>
        <w:t xml:space="preserve">Rebbeck TR, Devesa SS, Chang BL, Bunker CH et al. Global patterns of prostate cancer incidence aggressiveness and mortality in Men of African Descent. Prostate cancer. 2013;2013:560857.doi:10.1155/2013/560857. Epub 2013 Feb 13. </w:t>
      </w:r>
    </w:p>
    <w:p w:rsidR="004A70F6" w:rsidRDefault="004A70F6" w:rsidP="004A70F6">
      <w:pPr>
        <w:pStyle w:val="ListParagraph"/>
        <w:numPr>
          <w:ilvl w:val="0"/>
          <w:numId w:val="10"/>
        </w:numPr>
        <w:spacing w:after="0"/>
        <w:rPr>
          <w:bCs/>
        </w:rPr>
      </w:pPr>
      <w:r>
        <w:rPr>
          <w:bCs/>
        </w:rPr>
        <w:t>Jalloh M, Frebel TM, Mante SD, Yeboah ED et al. Evaluation of 4672 prostate biopsies performed in 6 African countries. Afr J Cancer. 2013 Do1 p1067–76.</w:t>
      </w:r>
    </w:p>
    <w:p w:rsidR="004A70F6" w:rsidRDefault="004A70F6" w:rsidP="004A70F6">
      <w:pPr>
        <w:pStyle w:val="ListParagraph"/>
        <w:numPr>
          <w:ilvl w:val="0"/>
          <w:numId w:val="10"/>
        </w:numPr>
        <w:spacing w:after="0"/>
        <w:rPr>
          <w:bCs/>
        </w:rPr>
      </w:pPr>
      <w:r>
        <w:rPr>
          <w:bCs/>
        </w:rPr>
        <w:t>Lazzaro C. Managing patients with prostate cancer in Italy during first year after diagnosis.  A cost description based on a sample of 8 urological wards. Arch Hal Urol Adrol. 2003</w:t>
      </w:r>
      <w:proofErr w:type="gramStart"/>
      <w:r>
        <w:rPr>
          <w:bCs/>
        </w:rPr>
        <w:t>;75</w:t>
      </w:r>
      <w:proofErr w:type="gramEnd"/>
      <w:r>
        <w:rPr>
          <w:bCs/>
        </w:rPr>
        <w:t xml:space="preserve">(3):138– 49. </w:t>
      </w:r>
    </w:p>
    <w:p w:rsidR="004A70F6" w:rsidRDefault="004A70F6" w:rsidP="004A70F6">
      <w:pPr>
        <w:pStyle w:val="ListParagraph"/>
        <w:numPr>
          <w:ilvl w:val="0"/>
          <w:numId w:val="10"/>
        </w:numPr>
        <w:spacing w:after="0"/>
        <w:rPr>
          <w:bCs/>
        </w:rPr>
      </w:pPr>
      <w:r>
        <w:rPr>
          <w:bCs/>
        </w:rPr>
        <w:t>Sangar VK, Ragavan N, Matanhelia SS, Watson MW, Blades RA. The economic consequences of prostate and bladder cancer in UK. BJU Int. 2005</w:t>
      </w:r>
      <w:proofErr w:type="gramStart"/>
      <w:r>
        <w:rPr>
          <w:bCs/>
        </w:rPr>
        <w:t>;95</w:t>
      </w:r>
      <w:proofErr w:type="gramEnd"/>
      <w:r>
        <w:rPr>
          <w:bCs/>
        </w:rPr>
        <w:t>(1):59–63.</w:t>
      </w:r>
    </w:p>
    <w:p w:rsidR="004A70F6" w:rsidRDefault="004A70F6" w:rsidP="004A70F6">
      <w:pPr>
        <w:pStyle w:val="ListParagraph"/>
        <w:numPr>
          <w:ilvl w:val="0"/>
          <w:numId w:val="10"/>
        </w:numPr>
        <w:spacing w:after="0"/>
        <w:rPr>
          <w:bCs/>
        </w:rPr>
      </w:pPr>
      <w:r>
        <w:rPr>
          <w:bCs/>
        </w:rPr>
        <w:t>Molinier L, Castellie, Bauvin E, Ribiland X, Soulie M, Daures JP and Grosdaude. Cost study of clinical management of prostate cancer in France: results on basis of population based data. Eur J Health Econ. 2011 Aug</w:t>
      </w:r>
      <w:proofErr w:type="gramStart"/>
      <w:r>
        <w:rPr>
          <w:bCs/>
        </w:rPr>
        <w:t>;12</w:t>
      </w:r>
      <w:proofErr w:type="gramEnd"/>
      <w:r>
        <w:rPr>
          <w:bCs/>
        </w:rPr>
        <w:t xml:space="preserve">(4):363–371. </w:t>
      </w:r>
    </w:p>
    <w:p w:rsidR="004A70F6" w:rsidRDefault="004A70F6" w:rsidP="004A70F6">
      <w:pPr>
        <w:jc w:val="center"/>
        <w:rPr>
          <w:b/>
          <w:sz w:val="28"/>
          <w:szCs w:val="28"/>
        </w:rPr>
      </w:pPr>
      <w:r>
        <w:rPr>
          <w:b/>
          <w:sz w:val="28"/>
          <w:szCs w:val="28"/>
        </w:rPr>
        <w:t xml:space="preserve">  </w:t>
      </w:r>
    </w:p>
    <w:p w:rsidR="004A70F6" w:rsidRDefault="004A70F6" w:rsidP="004A70F6"/>
    <w:p w:rsidR="001340F4" w:rsidRPr="0036027B" w:rsidRDefault="001340F4"/>
    <w:sectPr w:rsidR="001340F4" w:rsidRPr="0036027B" w:rsidSect="00620A8A">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11E" w:rsidRDefault="0076211E" w:rsidP="009B38F9">
      <w:pPr>
        <w:spacing w:after="0" w:line="240" w:lineRule="auto"/>
      </w:pPr>
      <w:r>
        <w:separator/>
      </w:r>
    </w:p>
  </w:endnote>
  <w:endnote w:type="continuationSeparator" w:id="0">
    <w:p w:rsidR="0076211E" w:rsidRDefault="0076211E" w:rsidP="009B3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828290"/>
      <w:docPartObj>
        <w:docPartGallery w:val="Page Numbers (Bottom of Page)"/>
        <w:docPartUnique/>
      </w:docPartObj>
    </w:sdtPr>
    <w:sdtEndPr>
      <w:rPr>
        <w:noProof/>
      </w:rPr>
    </w:sdtEndPr>
    <w:sdtContent>
      <w:p w:rsidR="008A375B" w:rsidRDefault="00601102">
        <w:pPr>
          <w:pStyle w:val="Footer"/>
          <w:jc w:val="right"/>
        </w:pPr>
        <w:r>
          <w:fldChar w:fldCharType="begin"/>
        </w:r>
        <w:r w:rsidR="008A375B">
          <w:instrText xml:space="preserve"> PAGE   \* MERGEFORMAT </w:instrText>
        </w:r>
        <w:r>
          <w:fldChar w:fldCharType="separate"/>
        </w:r>
        <w:r w:rsidR="00E77E21">
          <w:rPr>
            <w:noProof/>
          </w:rPr>
          <w:t>51</w:t>
        </w:r>
        <w:r>
          <w:rPr>
            <w:noProof/>
          </w:rPr>
          <w:fldChar w:fldCharType="end"/>
        </w:r>
      </w:p>
    </w:sdtContent>
  </w:sdt>
  <w:p w:rsidR="008A375B" w:rsidRDefault="008A3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11E" w:rsidRDefault="0076211E" w:rsidP="009B38F9">
      <w:pPr>
        <w:spacing w:after="0" w:line="240" w:lineRule="auto"/>
      </w:pPr>
      <w:r>
        <w:separator/>
      </w:r>
    </w:p>
  </w:footnote>
  <w:footnote w:type="continuationSeparator" w:id="0">
    <w:p w:rsidR="0076211E" w:rsidRDefault="0076211E" w:rsidP="009B38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60E01A8"/>
    <w:lvl w:ilvl="0" w:tplc="01A8C284">
      <w:start w:val="1"/>
      <w:numFmt w:val="bullet"/>
      <w:lvlText w:val="•"/>
      <w:lvlJc w:val="left"/>
      <w:pPr>
        <w:tabs>
          <w:tab w:val="left" w:pos="720"/>
        </w:tabs>
        <w:ind w:left="720" w:hanging="360"/>
      </w:pPr>
      <w:rPr>
        <w:rFonts w:ascii="Arial" w:hAnsi="Arial" w:hint="default"/>
      </w:rPr>
    </w:lvl>
    <w:lvl w:ilvl="1" w:tplc="D8D2B0A8" w:tentative="1">
      <w:start w:val="1"/>
      <w:numFmt w:val="bullet"/>
      <w:lvlText w:val="•"/>
      <w:lvlJc w:val="left"/>
      <w:pPr>
        <w:tabs>
          <w:tab w:val="left" w:pos="1440"/>
        </w:tabs>
        <w:ind w:left="1440" w:hanging="360"/>
      </w:pPr>
      <w:rPr>
        <w:rFonts w:ascii="Arial" w:hAnsi="Arial" w:hint="default"/>
      </w:rPr>
    </w:lvl>
    <w:lvl w:ilvl="2" w:tplc="99E2E14A" w:tentative="1">
      <w:start w:val="1"/>
      <w:numFmt w:val="bullet"/>
      <w:lvlText w:val="•"/>
      <w:lvlJc w:val="left"/>
      <w:pPr>
        <w:tabs>
          <w:tab w:val="left" w:pos="2160"/>
        </w:tabs>
        <w:ind w:left="2160" w:hanging="360"/>
      </w:pPr>
      <w:rPr>
        <w:rFonts w:ascii="Arial" w:hAnsi="Arial" w:hint="default"/>
      </w:rPr>
    </w:lvl>
    <w:lvl w:ilvl="3" w:tplc="68EC9022" w:tentative="1">
      <w:start w:val="1"/>
      <w:numFmt w:val="bullet"/>
      <w:lvlText w:val="•"/>
      <w:lvlJc w:val="left"/>
      <w:pPr>
        <w:tabs>
          <w:tab w:val="left" w:pos="2880"/>
        </w:tabs>
        <w:ind w:left="2880" w:hanging="360"/>
      </w:pPr>
      <w:rPr>
        <w:rFonts w:ascii="Arial" w:hAnsi="Arial" w:hint="default"/>
      </w:rPr>
    </w:lvl>
    <w:lvl w:ilvl="4" w:tplc="09369E1E" w:tentative="1">
      <w:start w:val="1"/>
      <w:numFmt w:val="bullet"/>
      <w:lvlText w:val="•"/>
      <w:lvlJc w:val="left"/>
      <w:pPr>
        <w:tabs>
          <w:tab w:val="left" w:pos="3600"/>
        </w:tabs>
        <w:ind w:left="3600" w:hanging="360"/>
      </w:pPr>
      <w:rPr>
        <w:rFonts w:ascii="Arial" w:hAnsi="Arial" w:hint="default"/>
      </w:rPr>
    </w:lvl>
    <w:lvl w:ilvl="5" w:tplc="68202200" w:tentative="1">
      <w:start w:val="1"/>
      <w:numFmt w:val="bullet"/>
      <w:lvlText w:val="•"/>
      <w:lvlJc w:val="left"/>
      <w:pPr>
        <w:tabs>
          <w:tab w:val="left" w:pos="4320"/>
        </w:tabs>
        <w:ind w:left="4320" w:hanging="360"/>
      </w:pPr>
      <w:rPr>
        <w:rFonts w:ascii="Arial" w:hAnsi="Arial" w:hint="default"/>
      </w:rPr>
    </w:lvl>
    <w:lvl w:ilvl="6" w:tplc="C7D02686" w:tentative="1">
      <w:start w:val="1"/>
      <w:numFmt w:val="bullet"/>
      <w:lvlText w:val="•"/>
      <w:lvlJc w:val="left"/>
      <w:pPr>
        <w:tabs>
          <w:tab w:val="left" w:pos="5040"/>
        </w:tabs>
        <w:ind w:left="5040" w:hanging="360"/>
      </w:pPr>
      <w:rPr>
        <w:rFonts w:ascii="Arial" w:hAnsi="Arial" w:hint="default"/>
      </w:rPr>
    </w:lvl>
    <w:lvl w:ilvl="7" w:tplc="4C7C83E6" w:tentative="1">
      <w:start w:val="1"/>
      <w:numFmt w:val="bullet"/>
      <w:lvlText w:val="•"/>
      <w:lvlJc w:val="left"/>
      <w:pPr>
        <w:tabs>
          <w:tab w:val="left" w:pos="5760"/>
        </w:tabs>
        <w:ind w:left="5760" w:hanging="360"/>
      </w:pPr>
      <w:rPr>
        <w:rFonts w:ascii="Arial" w:hAnsi="Arial" w:hint="default"/>
      </w:rPr>
    </w:lvl>
    <w:lvl w:ilvl="8" w:tplc="8DD81E66" w:tentative="1">
      <w:start w:val="1"/>
      <w:numFmt w:val="bullet"/>
      <w:lvlText w:val="•"/>
      <w:lvlJc w:val="left"/>
      <w:pPr>
        <w:tabs>
          <w:tab w:val="left" w:pos="6480"/>
        </w:tabs>
        <w:ind w:left="6480" w:hanging="360"/>
      </w:pPr>
      <w:rPr>
        <w:rFonts w:ascii="Arial" w:hAnsi="Arial" w:hint="default"/>
      </w:rPr>
    </w:lvl>
  </w:abstractNum>
  <w:abstractNum w:abstractNumId="1">
    <w:nsid w:val="00000003"/>
    <w:multiLevelType w:val="hybridMultilevel"/>
    <w:tmpl w:val="62967E8C"/>
    <w:lvl w:ilvl="0" w:tplc="63B23D56">
      <w:start w:val="1"/>
      <w:numFmt w:val="bullet"/>
      <w:lvlText w:val="•"/>
      <w:lvlJc w:val="left"/>
      <w:pPr>
        <w:tabs>
          <w:tab w:val="left" w:pos="720"/>
        </w:tabs>
        <w:ind w:left="720" w:hanging="360"/>
      </w:pPr>
      <w:rPr>
        <w:rFonts w:ascii="Arial" w:hAnsi="Arial" w:hint="default"/>
      </w:rPr>
    </w:lvl>
    <w:lvl w:ilvl="1" w:tplc="70000E6A" w:tentative="1">
      <w:start w:val="1"/>
      <w:numFmt w:val="bullet"/>
      <w:lvlText w:val="•"/>
      <w:lvlJc w:val="left"/>
      <w:pPr>
        <w:tabs>
          <w:tab w:val="left" w:pos="1440"/>
        </w:tabs>
        <w:ind w:left="1440" w:hanging="360"/>
      </w:pPr>
      <w:rPr>
        <w:rFonts w:ascii="Arial" w:hAnsi="Arial" w:hint="default"/>
      </w:rPr>
    </w:lvl>
    <w:lvl w:ilvl="2" w:tplc="4A90C71E" w:tentative="1">
      <w:start w:val="1"/>
      <w:numFmt w:val="bullet"/>
      <w:lvlText w:val="•"/>
      <w:lvlJc w:val="left"/>
      <w:pPr>
        <w:tabs>
          <w:tab w:val="left" w:pos="2160"/>
        </w:tabs>
        <w:ind w:left="2160" w:hanging="360"/>
      </w:pPr>
      <w:rPr>
        <w:rFonts w:ascii="Arial" w:hAnsi="Arial" w:hint="default"/>
      </w:rPr>
    </w:lvl>
    <w:lvl w:ilvl="3" w:tplc="750E0BD8" w:tentative="1">
      <w:start w:val="1"/>
      <w:numFmt w:val="bullet"/>
      <w:lvlText w:val="•"/>
      <w:lvlJc w:val="left"/>
      <w:pPr>
        <w:tabs>
          <w:tab w:val="left" w:pos="2880"/>
        </w:tabs>
        <w:ind w:left="2880" w:hanging="360"/>
      </w:pPr>
      <w:rPr>
        <w:rFonts w:ascii="Arial" w:hAnsi="Arial" w:hint="default"/>
      </w:rPr>
    </w:lvl>
    <w:lvl w:ilvl="4" w:tplc="BE60E7D2" w:tentative="1">
      <w:start w:val="1"/>
      <w:numFmt w:val="bullet"/>
      <w:lvlText w:val="•"/>
      <w:lvlJc w:val="left"/>
      <w:pPr>
        <w:tabs>
          <w:tab w:val="left" w:pos="3600"/>
        </w:tabs>
        <w:ind w:left="3600" w:hanging="360"/>
      </w:pPr>
      <w:rPr>
        <w:rFonts w:ascii="Arial" w:hAnsi="Arial" w:hint="default"/>
      </w:rPr>
    </w:lvl>
    <w:lvl w:ilvl="5" w:tplc="28E8CB92" w:tentative="1">
      <w:start w:val="1"/>
      <w:numFmt w:val="bullet"/>
      <w:lvlText w:val="•"/>
      <w:lvlJc w:val="left"/>
      <w:pPr>
        <w:tabs>
          <w:tab w:val="left" w:pos="4320"/>
        </w:tabs>
        <w:ind w:left="4320" w:hanging="360"/>
      </w:pPr>
      <w:rPr>
        <w:rFonts w:ascii="Arial" w:hAnsi="Arial" w:hint="default"/>
      </w:rPr>
    </w:lvl>
    <w:lvl w:ilvl="6" w:tplc="1416F3C0" w:tentative="1">
      <w:start w:val="1"/>
      <w:numFmt w:val="bullet"/>
      <w:lvlText w:val="•"/>
      <w:lvlJc w:val="left"/>
      <w:pPr>
        <w:tabs>
          <w:tab w:val="left" w:pos="5040"/>
        </w:tabs>
        <w:ind w:left="5040" w:hanging="360"/>
      </w:pPr>
      <w:rPr>
        <w:rFonts w:ascii="Arial" w:hAnsi="Arial" w:hint="default"/>
      </w:rPr>
    </w:lvl>
    <w:lvl w:ilvl="7" w:tplc="A61CFC56" w:tentative="1">
      <w:start w:val="1"/>
      <w:numFmt w:val="bullet"/>
      <w:lvlText w:val="•"/>
      <w:lvlJc w:val="left"/>
      <w:pPr>
        <w:tabs>
          <w:tab w:val="left" w:pos="5760"/>
        </w:tabs>
        <w:ind w:left="5760" w:hanging="360"/>
      </w:pPr>
      <w:rPr>
        <w:rFonts w:ascii="Arial" w:hAnsi="Arial" w:hint="default"/>
      </w:rPr>
    </w:lvl>
    <w:lvl w:ilvl="8" w:tplc="FCE2334E" w:tentative="1">
      <w:start w:val="1"/>
      <w:numFmt w:val="bullet"/>
      <w:lvlText w:val="•"/>
      <w:lvlJc w:val="left"/>
      <w:pPr>
        <w:tabs>
          <w:tab w:val="left" w:pos="6480"/>
        </w:tabs>
        <w:ind w:left="6480" w:hanging="360"/>
      </w:pPr>
      <w:rPr>
        <w:rFonts w:ascii="Arial" w:hAnsi="Arial" w:hint="default"/>
      </w:rPr>
    </w:lvl>
  </w:abstractNum>
  <w:abstractNum w:abstractNumId="2">
    <w:nsid w:val="00000005"/>
    <w:multiLevelType w:val="hybridMultilevel"/>
    <w:tmpl w:val="49500B84"/>
    <w:lvl w:ilvl="0" w:tplc="26E6B74C">
      <w:start w:val="1"/>
      <w:numFmt w:val="decimal"/>
      <w:lvlText w:val="%1."/>
      <w:lvlJc w:val="left"/>
      <w:pPr>
        <w:ind w:left="720" w:hanging="360"/>
      </w:pPr>
      <w:rPr>
        <w:rFonts w:ascii="Calibri" w:eastAsia="SimSun" w:hAnsi="Calibri"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18B9"/>
    <w:multiLevelType w:val="hybridMultilevel"/>
    <w:tmpl w:val="2B00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A73ED"/>
    <w:multiLevelType w:val="hybridMultilevel"/>
    <w:tmpl w:val="360E01A8"/>
    <w:lvl w:ilvl="0" w:tplc="01A8C284">
      <w:start w:val="1"/>
      <w:numFmt w:val="bullet"/>
      <w:lvlText w:val="•"/>
      <w:lvlJc w:val="left"/>
      <w:pPr>
        <w:tabs>
          <w:tab w:val="num" w:pos="720"/>
        </w:tabs>
        <w:ind w:left="720" w:hanging="360"/>
      </w:pPr>
      <w:rPr>
        <w:rFonts w:ascii="Arial" w:hAnsi="Arial" w:hint="default"/>
      </w:rPr>
    </w:lvl>
    <w:lvl w:ilvl="1" w:tplc="D8D2B0A8" w:tentative="1">
      <w:start w:val="1"/>
      <w:numFmt w:val="bullet"/>
      <w:lvlText w:val="•"/>
      <w:lvlJc w:val="left"/>
      <w:pPr>
        <w:tabs>
          <w:tab w:val="num" w:pos="1440"/>
        </w:tabs>
        <w:ind w:left="1440" w:hanging="360"/>
      </w:pPr>
      <w:rPr>
        <w:rFonts w:ascii="Arial" w:hAnsi="Arial" w:hint="default"/>
      </w:rPr>
    </w:lvl>
    <w:lvl w:ilvl="2" w:tplc="99E2E14A" w:tentative="1">
      <w:start w:val="1"/>
      <w:numFmt w:val="bullet"/>
      <w:lvlText w:val="•"/>
      <w:lvlJc w:val="left"/>
      <w:pPr>
        <w:tabs>
          <w:tab w:val="num" w:pos="2160"/>
        </w:tabs>
        <w:ind w:left="2160" w:hanging="360"/>
      </w:pPr>
      <w:rPr>
        <w:rFonts w:ascii="Arial" w:hAnsi="Arial" w:hint="default"/>
      </w:rPr>
    </w:lvl>
    <w:lvl w:ilvl="3" w:tplc="68EC9022" w:tentative="1">
      <w:start w:val="1"/>
      <w:numFmt w:val="bullet"/>
      <w:lvlText w:val="•"/>
      <w:lvlJc w:val="left"/>
      <w:pPr>
        <w:tabs>
          <w:tab w:val="num" w:pos="2880"/>
        </w:tabs>
        <w:ind w:left="2880" w:hanging="360"/>
      </w:pPr>
      <w:rPr>
        <w:rFonts w:ascii="Arial" w:hAnsi="Arial" w:hint="default"/>
      </w:rPr>
    </w:lvl>
    <w:lvl w:ilvl="4" w:tplc="09369E1E" w:tentative="1">
      <w:start w:val="1"/>
      <w:numFmt w:val="bullet"/>
      <w:lvlText w:val="•"/>
      <w:lvlJc w:val="left"/>
      <w:pPr>
        <w:tabs>
          <w:tab w:val="num" w:pos="3600"/>
        </w:tabs>
        <w:ind w:left="3600" w:hanging="360"/>
      </w:pPr>
      <w:rPr>
        <w:rFonts w:ascii="Arial" w:hAnsi="Arial" w:hint="default"/>
      </w:rPr>
    </w:lvl>
    <w:lvl w:ilvl="5" w:tplc="68202200" w:tentative="1">
      <w:start w:val="1"/>
      <w:numFmt w:val="bullet"/>
      <w:lvlText w:val="•"/>
      <w:lvlJc w:val="left"/>
      <w:pPr>
        <w:tabs>
          <w:tab w:val="num" w:pos="4320"/>
        </w:tabs>
        <w:ind w:left="4320" w:hanging="360"/>
      </w:pPr>
      <w:rPr>
        <w:rFonts w:ascii="Arial" w:hAnsi="Arial" w:hint="default"/>
      </w:rPr>
    </w:lvl>
    <w:lvl w:ilvl="6" w:tplc="C7D02686" w:tentative="1">
      <w:start w:val="1"/>
      <w:numFmt w:val="bullet"/>
      <w:lvlText w:val="•"/>
      <w:lvlJc w:val="left"/>
      <w:pPr>
        <w:tabs>
          <w:tab w:val="num" w:pos="5040"/>
        </w:tabs>
        <w:ind w:left="5040" w:hanging="360"/>
      </w:pPr>
      <w:rPr>
        <w:rFonts w:ascii="Arial" w:hAnsi="Arial" w:hint="default"/>
      </w:rPr>
    </w:lvl>
    <w:lvl w:ilvl="7" w:tplc="4C7C83E6" w:tentative="1">
      <w:start w:val="1"/>
      <w:numFmt w:val="bullet"/>
      <w:lvlText w:val="•"/>
      <w:lvlJc w:val="left"/>
      <w:pPr>
        <w:tabs>
          <w:tab w:val="num" w:pos="5760"/>
        </w:tabs>
        <w:ind w:left="5760" w:hanging="360"/>
      </w:pPr>
      <w:rPr>
        <w:rFonts w:ascii="Arial" w:hAnsi="Arial" w:hint="default"/>
      </w:rPr>
    </w:lvl>
    <w:lvl w:ilvl="8" w:tplc="8DD81E66" w:tentative="1">
      <w:start w:val="1"/>
      <w:numFmt w:val="bullet"/>
      <w:lvlText w:val="•"/>
      <w:lvlJc w:val="left"/>
      <w:pPr>
        <w:tabs>
          <w:tab w:val="num" w:pos="6480"/>
        </w:tabs>
        <w:ind w:left="6480" w:hanging="360"/>
      </w:pPr>
      <w:rPr>
        <w:rFonts w:ascii="Arial" w:hAnsi="Arial" w:hint="default"/>
      </w:rPr>
    </w:lvl>
  </w:abstractNum>
  <w:abstractNum w:abstractNumId="5">
    <w:nsid w:val="451E4A56"/>
    <w:multiLevelType w:val="hybridMultilevel"/>
    <w:tmpl w:val="F49A6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4E601E"/>
    <w:multiLevelType w:val="hybridMultilevel"/>
    <w:tmpl w:val="62967E8C"/>
    <w:lvl w:ilvl="0" w:tplc="63B23D56">
      <w:start w:val="1"/>
      <w:numFmt w:val="bullet"/>
      <w:lvlText w:val="•"/>
      <w:lvlJc w:val="left"/>
      <w:pPr>
        <w:tabs>
          <w:tab w:val="num" w:pos="720"/>
        </w:tabs>
        <w:ind w:left="720" w:hanging="360"/>
      </w:pPr>
      <w:rPr>
        <w:rFonts w:ascii="Arial" w:hAnsi="Arial" w:hint="default"/>
      </w:rPr>
    </w:lvl>
    <w:lvl w:ilvl="1" w:tplc="70000E6A" w:tentative="1">
      <w:start w:val="1"/>
      <w:numFmt w:val="bullet"/>
      <w:lvlText w:val="•"/>
      <w:lvlJc w:val="left"/>
      <w:pPr>
        <w:tabs>
          <w:tab w:val="num" w:pos="1440"/>
        </w:tabs>
        <w:ind w:left="1440" w:hanging="360"/>
      </w:pPr>
      <w:rPr>
        <w:rFonts w:ascii="Arial" w:hAnsi="Arial" w:hint="default"/>
      </w:rPr>
    </w:lvl>
    <w:lvl w:ilvl="2" w:tplc="4A90C71E" w:tentative="1">
      <w:start w:val="1"/>
      <w:numFmt w:val="bullet"/>
      <w:lvlText w:val="•"/>
      <w:lvlJc w:val="left"/>
      <w:pPr>
        <w:tabs>
          <w:tab w:val="num" w:pos="2160"/>
        </w:tabs>
        <w:ind w:left="2160" w:hanging="360"/>
      </w:pPr>
      <w:rPr>
        <w:rFonts w:ascii="Arial" w:hAnsi="Arial" w:hint="default"/>
      </w:rPr>
    </w:lvl>
    <w:lvl w:ilvl="3" w:tplc="750E0BD8" w:tentative="1">
      <w:start w:val="1"/>
      <w:numFmt w:val="bullet"/>
      <w:lvlText w:val="•"/>
      <w:lvlJc w:val="left"/>
      <w:pPr>
        <w:tabs>
          <w:tab w:val="num" w:pos="2880"/>
        </w:tabs>
        <w:ind w:left="2880" w:hanging="360"/>
      </w:pPr>
      <w:rPr>
        <w:rFonts w:ascii="Arial" w:hAnsi="Arial" w:hint="default"/>
      </w:rPr>
    </w:lvl>
    <w:lvl w:ilvl="4" w:tplc="BE60E7D2" w:tentative="1">
      <w:start w:val="1"/>
      <w:numFmt w:val="bullet"/>
      <w:lvlText w:val="•"/>
      <w:lvlJc w:val="left"/>
      <w:pPr>
        <w:tabs>
          <w:tab w:val="num" w:pos="3600"/>
        </w:tabs>
        <w:ind w:left="3600" w:hanging="360"/>
      </w:pPr>
      <w:rPr>
        <w:rFonts w:ascii="Arial" w:hAnsi="Arial" w:hint="default"/>
      </w:rPr>
    </w:lvl>
    <w:lvl w:ilvl="5" w:tplc="28E8CB92" w:tentative="1">
      <w:start w:val="1"/>
      <w:numFmt w:val="bullet"/>
      <w:lvlText w:val="•"/>
      <w:lvlJc w:val="left"/>
      <w:pPr>
        <w:tabs>
          <w:tab w:val="num" w:pos="4320"/>
        </w:tabs>
        <w:ind w:left="4320" w:hanging="360"/>
      </w:pPr>
      <w:rPr>
        <w:rFonts w:ascii="Arial" w:hAnsi="Arial" w:hint="default"/>
      </w:rPr>
    </w:lvl>
    <w:lvl w:ilvl="6" w:tplc="1416F3C0" w:tentative="1">
      <w:start w:val="1"/>
      <w:numFmt w:val="bullet"/>
      <w:lvlText w:val="•"/>
      <w:lvlJc w:val="left"/>
      <w:pPr>
        <w:tabs>
          <w:tab w:val="num" w:pos="5040"/>
        </w:tabs>
        <w:ind w:left="5040" w:hanging="360"/>
      </w:pPr>
      <w:rPr>
        <w:rFonts w:ascii="Arial" w:hAnsi="Arial" w:hint="default"/>
      </w:rPr>
    </w:lvl>
    <w:lvl w:ilvl="7" w:tplc="A61CFC56" w:tentative="1">
      <w:start w:val="1"/>
      <w:numFmt w:val="bullet"/>
      <w:lvlText w:val="•"/>
      <w:lvlJc w:val="left"/>
      <w:pPr>
        <w:tabs>
          <w:tab w:val="num" w:pos="5760"/>
        </w:tabs>
        <w:ind w:left="5760" w:hanging="360"/>
      </w:pPr>
      <w:rPr>
        <w:rFonts w:ascii="Arial" w:hAnsi="Arial" w:hint="default"/>
      </w:rPr>
    </w:lvl>
    <w:lvl w:ilvl="8" w:tplc="FCE2334E" w:tentative="1">
      <w:start w:val="1"/>
      <w:numFmt w:val="bullet"/>
      <w:lvlText w:val="•"/>
      <w:lvlJc w:val="left"/>
      <w:pPr>
        <w:tabs>
          <w:tab w:val="num" w:pos="6480"/>
        </w:tabs>
        <w:ind w:left="6480" w:hanging="360"/>
      </w:pPr>
      <w:rPr>
        <w:rFonts w:ascii="Arial" w:hAnsi="Arial" w:hint="default"/>
      </w:rPr>
    </w:lvl>
  </w:abstractNum>
  <w:abstractNum w:abstractNumId="7">
    <w:nsid w:val="6C9D0E7F"/>
    <w:multiLevelType w:val="hybridMultilevel"/>
    <w:tmpl w:val="281C4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A00871"/>
    <w:multiLevelType w:val="hybridMultilevel"/>
    <w:tmpl w:val="DA3A669E"/>
    <w:lvl w:ilvl="0" w:tplc="51B0358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8"/>
  </w:num>
  <w:num w:numId="6">
    <w:abstractNumId w:val="4"/>
  </w:num>
  <w:num w:numId="7">
    <w:abstractNumId w:val="1"/>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6D24B9"/>
    <w:rsid w:val="00001413"/>
    <w:rsid w:val="00015DC0"/>
    <w:rsid w:val="000172E0"/>
    <w:rsid w:val="00023E1D"/>
    <w:rsid w:val="00047BD1"/>
    <w:rsid w:val="00053386"/>
    <w:rsid w:val="000622AC"/>
    <w:rsid w:val="00081BAA"/>
    <w:rsid w:val="00087FBC"/>
    <w:rsid w:val="000A040D"/>
    <w:rsid w:val="000D53A6"/>
    <w:rsid w:val="000F2DC6"/>
    <w:rsid w:val="001011AF"/>
    <w:rsid w:val="001340F4"/>
    <w:rsid w:val="00160ED3"/>
    <w:rsid w:val="00177A8D"/>
    <w:rsid w:val="001C6D38"/>
    <w:rsid w:val="001E4B67"/>
    <w:rsid w:val="002047C2"/>
    <w:rsid w:val="00207FD1"/>
    <w:rsid w:val="00217A9B"/>
    <w:rsid w:val="002368A8"/>
    <w:rsid w:val="002404C6"/>
    <w:rsid w:val="00265C22"/>
    <w:rsid w:val="002715FC"/>
    <w:rsid w:val="00272203"/>
    <w:rsid w:val="00276A2D"/>
    <w:rsid w:val="002A219A"/>
    <w:rsid w:val="003059A5"/>
    <w:rsid w:val="00307D8D"/>
    <w:rsid w:val="00355642"/>
    <w:rsid w:val="0036027B"/>
    <w:rsid w:val="00361C54"/>
    <w:rsid w:val="00365EF8"/>
    <w:rsid w:val="00386012"/>
    <w:rsid w:val="003B05AD"/>
    <w:rsid w:val="003C1814"/>
    <w:rsid w:val="003C38EE"/>
    <w:rsid w:val="003F0151"/>
    <w:rsid w:val="003F4FA7"/>
    <w:rsid w:val="003F6226"/>
    <w:rsid w:val="003F6969"/>
    <w:rsid w:val="004666DD"/>
    <w:rsid w:val="00476414"/>
    <w:rsid w:val="004A70F6"/>
    <w:rsid w:val="004F0CC5"/>
    <w:rsid w:val="004F26D2"/>
    <w:rsid w:val="004F7827"/>
    <w:rsid w:val="00527021"/>
    <w:rsid w:val="00542E08"/>
    <w:rsid w:val="00552809"/>
    <w:rsid w:val="00572D88"/>
    <w:rsid w:val="00593D11"/>
    <w:rsid w:val="005E00C1"/>
    <w:rsid w:val="005E158D"/>
    <w:rsid w:val="00601102"/>
    <w:rsid w:val="00607FF6"/>
    <w:rsid w:val="00620A8A"/>
    <w:rsid w:val="006232C6"/>
    <w:rsid w:val="00693BCC"/>
    <w:rsid w:val="006B76AA"/>
    <w:rsid w:val="006D2186"/>
    <w:rsid w:val="006D24B9"/>
    <w:rsid w:val="006D525E"/>
    <w:rsid w:val="006D78F7"/>
    <w:rsid w:val="006E739B"/>
    <w:rsid w:val="00704077"/>
    <w:rsid w:val="007123C7"/>
    <w:rsid w:val="00724BD2"/>
    <w:rsid w:val="0074537E"/>
    <w:rsid w:val="00756888"/>
    <w:rsid w:val="0076211E"/>
    <w:rsid w:val="007A4043"/>
    <w:rsid w:val="007B0CC8"/>
    <w:rsid w:val="007D32BC"/>
    <w:rsid w:val="00801B2E"/>
    <w:rsid w:val="00824329"/>
    <w:rsid w:val="008343E4"/>
    <w:rsid w:val="00861B5F"/>
    <w:rsid w:val="00895D73"/>
    <w:rsid w:val="008A375B"/>
    <w:rsid w:val="008E531D"/>
    <w:rsid w:val="008F2A68"/>
    <w:rsid w:val="008F7EEB"/>
    <w:rsid w:val="00936AA4"/>
    <w:rsid w:val="0096184E"/>
    <w:rsid w:val="009631C9"/>
    <w:rsid w:val="00967AC0"/>
    <w:rsid w:val="00996A07"/>
    <w:rsid w:val="009A0567"/>
    <w:rsid w:val="009B38F9"/>
    <w:rsid w:val="009D18A0"/>
    <w:rsid w:val="009D6EB4"/>
    <w:rsid w:val="009E3B7B"/>
    <w:rsid w:val="009F3BAA"/>
    <w:rsid w:val="00A15B40"/>
    <w:rsid w:val="00A161DD"/>
    <w:rsid w:val="00A427AD"/>
    <w:rsid w:val="00A636BA"/>
    <w:rsid w:val="00A940BA"/>
    <w:rsid w:val="00AA5581"/>
    <w:rsid w:val="00AC3AD9"/>
    <w:rsid w:val="00AD2D34"/>
    <w:rsid w:val="00B13A6A"/>
    <w:rsid w:val="00B15EC6"/>
    <w:rsid w:val="00B302D5"/>
    <w:rsid w:val="00B51318"/>
    <w:rsid w:val="00BA4175"/>
    <w:rsid w:val="00BA7440"/>
    <w:rsid w:val="00BB47D7"/>
    <w:rsid w:val="00BC0841"/>
    <w:rsid w:val="00BD66D8"/>
    <w:rsid w:val="00BD71AA"/>
    <w:rsid w:val="00BE63EF"/>
    <w:rsid w:val="00BF7780"/>
    <w:rsid w:val="00C3360B"/>
    <w:rsid w:val="00C653BE"/>
    <w:rsid w:val="00C77D6E"/>
    <w:rsid w:val="00C80E58"/>
    <w:rsid w:val="00CB20C5"/>
    <w:rsid w:val="00CD0233"/>
    <w:rsid w:val="00CE2CCE"/>
    <w:rsid w:val="00D011A0"/>
    <w:rsid w:val="00D22D27"/>
    <w:rsid w:val="00D3114D"/>
    <w:rsid w:val="00D4229A"/>
    <w:rsid w:val="00D766BB"/>
    <w:rsid w:val="00DB4570"/>
    <w:rsid w:val="00DC20F1"/>
    <w:rsid w:val="00E00B5A"/>
    <w:rsid w:val="00E0382C"/>
    <w:rsid w:val="00E51EB6"/>
    <w:rsid w:val="00E6617A"/>
    <w:rsid w:val="00E77E21"/>
    <w:rsid w:val="00E80C37"/>
    <w:rsid w:val="00ED3F23"/>
    <w:rsid w:val="00EE0706"/>
    <w:rsid w:val="00F03B3A"/>
    <w:rsid w:val="00F1385D"/>
    <w:rsid w:val="00F13DCB"/>
    <w:rsid w:val="00F24B53"/>
    <w:rsid w:val="00F274F8"/>
    <w:rsid w:val="00F32DFD"/>
    <w:rsid w:val="00F47391"/>
    <w:rsid w:val="00FA27E1"/>
    <w:rsid w:val="00FE39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B9"/>
    <w:pPr>
      <w:ind w:left="720"/>
      <w:contextualSpacing/>
    </w:pPr>
    <w:rPr>
      <w:rFonts w:eastAsiaTheme="minorEastAsia"/>
    </w:rPr>
  </w:style>
  <w:style w:type="table" w:styleId="TableGrid">
    <w:name w:val="Table Grid"/>
    <w:basedOn w:val="TableNormal"/>
    <w:uiPriority w:val="59"/>
    <w:rsid w:val="00620A8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620A8A"/>
    <w:pPr>
      <w:tabs>
        <w:tab w:val="decimal" w:pos="360"/>
      </w:tabs>
    </w:pPr>
    <w:rPr>
      <w:lang w:eastAsia="ja-JP"/>
    </w:rPr>
  </w:style>
  <w:style w:type="character" w:styleId="SubtleEmphasis">
    <w:name w:val="Subtle Emphasis"/>
    <w:basedOn w:val="DefaultParagraphFont"/>
    <w:uiPriority w:val="19"/>
    <w:qFormat/>
    <w:rsid w:val="00620A8A"/>
    <w:rPr>
      <w:i/>
      <w:iCs/>
      <w:color w:val="7F7F7F" w:themeColor="text1" w:themeTint="80"/>
    </w:rPr>
  </w:style>
  <w:style w:type="table" w:styleId="LightList-Accent6">
    <w:name w:val="Light List Accent 6"/>
    <w:basedOn w:val="TableNormal"/>
    <w:uiPriority w:val="61"/>
    <w:rsid w:val="00620A8A"/>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620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8A"/>
    <w:rPr>
      <w:rFonts w:ascii="Tahoma" w:hAnsi="Tahoma" w:cs="Tahoma"/>
      <w:sz w:val="16"/>
      <w:szCs w:val="16"/>
    </w:rPr>
  </w:style>
  <w:style w:type="paragraph" w:styleId="Header">
    <w:name w:val="header"/>
    <w:basedOn w:val="Normal"/>
    <w:link w:val="HeaderChar"/>
    <w:uiPriority w:val="99"/>
    <w:unhideWhenUsed/>
    <w:rsid w:val="009B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8F9"/>
  </w:style>
  <w:style w:type="paragraph" w:styleId="Footer">
    <w:name w:val="footer"/>
    <w:basedOn w:val="Normal"/>
    <w:link w:val="FooterChar"/>
    <w:uiPriority w:val="99"/>
    <w:unhideWhenUsed/>
    <w:rsid w:val="009B3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B9"/>
    <w:pPr>
      <w:ind w:left="720"/>
      <w:contextualSpacing/>
    </w:pPr>
    <w:rPr>
      <w:rFonts w:eastAsiaTheme="minorEastAsia"/>
    </w:rPr>
  </w:style>
  <w:style w:type="table" w:styleId="TableGrid">
    <w:name w:val="Table Grid"/>
    <w:basedOn w:val="TableNormal"/>
    <w:uiPriority w:val="59"/>
    <w:rsid w:val="00620A8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620A8A"/>
    <w:pPr>
      <w:tabs>
        <w:tab w:val="decimal" w:pos="360"/>
      </w:tabs>
    </w:pPr>
    <w:rPr>
      <w:lang w:eastAsia="ja-JP"/>
    </w:rPr>
  </w:style>
  <w:style w:type="character" w:styleId="SubtleEmphasis">
    <w:name w:val="Subtle Emphasis"/>
    <w:basedOn w:val="DefaultParagraphFont"/>
    <w:uiPriority w:val="19"/>
    <w:qFormat/>
    <w:rsid w:val="00620A8A"/>
    <w:rPr>
      <w:i/>
      <w:iCs/>
      <w:color w:val="7F7F7F" w:themeColor="text1" w:themeTint="80"/>
    </w:rPr>
  </w:style>
  <w:style w:type="table" w:styleId="LightList-Accent6">
    <w:name w:val="Light List Accent 6"/>
    <w:basedOn w:val="TableNormal"/>
    <w:uiPriority w:val="61"/>
    <w:rsid w:val="00620A8A"/>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620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8A"/>
    <w:rPr>
      <w:rFonts w:ascii="Tahoma" w:hAnsi="Tahoma" w:cs="Tahoma"/>
      <w:sz w:val="16"/>
      <w:szCs w:val="16"/>
    </w:rPr>
  </w:style>
  <w:style w:type="paragraph" w:styleId="Header">
    <w:name w:val="header"/>
    <w:basedOn w:val="Normal"/>
    <w:link w:val="HeaderChar"/>
    <w:uiPriority w:val="99"/>
    <w:unhideWhenUsed/>
    <w:rsid w:val="009B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8F9"/>
  </w:style>
  <w:style w:type="paragraph" w:styleId="Footer">
    <w:name w:val="footer"/>
    <w:basedOn w:val="Normal"/>
    <w:link w:val="FooterChar"/>
    <w:uiPriority w:val="99"/>
    <w:unhideWhenUsed/>
    <w:rsid w:val="009B3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8F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PowerPoint_Slide2.sldx"/><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9.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68948655256695"/>
          <c:y val="9.1304347826087748E-2"/>
          <c:w val="0.87530562347189156"/>
          <c:h val="0.75217391304348724"/>
        </c:manualLayout>
      </c:layout>
      <c:barChart>
        <c:barDir val="col"/>
        <c:grouping val="clustered"/>
        <c:ser>
          <c:idx val="0"/>
          <c:order val="0"/>
          <c:tx>
            <c:strRef>
              <c:f>Sheet1!$A$2</c:f>
              <c:strCache>
                <c:ptCount val="1"/>
              </c:strCache>
            </c:strRef>
          </c:tx>
          <c:spPr>
            <a:solidFill>
              <a:srgbClr val="BBE0E3"/>
            </a:solidFill>
            <a:ln w="12700">
              <a:solidFill>
                <a:srgbClr val="000000"/>
              </a:solidFill>
              <a:prstDash val="solid"/>
            </a:ln>
          </c:spPr>
          <c:dLbls>
            <c:numFmt formatCode="0.0%" sourceLinked="0"/>
            <c:spPr>
              <a:noFill/>
              <a:ln w="25400">
                <a:noFill/>
              </a:ln>
            </c:spPr>
            <c:txPr>
              <a:bodyPr/>
              <a:lstStyle/>
              <a:p>
                <a:pPr>
                  <a:defRPr sz="675" b="1" i="0" u="none" strike="noStrike" baseline="0">
                    <a:solidFill>
                      <a:srgbClr val="000000"/>
                    </a:solidFill>
                    <a:latin typeface="Arial"/>
                    <a:ea typeface="Arial"/>
                    <a:cs typeface="Arial"/>
                  </a:defRPr>
                </a:pPr>
                <a:endParaRPr lang="en-US"/>
              </a:p>
            </c:txPr>
            <c:showVal val="1"/>
          </c:dLbls>
          <c:cat>
            <c:strRef>
              <c:f>Sheet1!$B$1:$I$1</c:f>
              <c:strCache>
                <c:ptCount val="8"/>
                <c:pt idx="0">
                  <c:v>BPH</c:v>
                </c:pt>
                <c:pt idx="1">
                  <c:v>VS</c:v>
                </c:pt>
                <c:pt idx="2">
                  <c:v>CaB</c:v>
                </c:pt>
                <c:pt idx="3">
                  <c:v>UTI</c:v>
                </c:pt>
                <c:pt idx="4">
                  <c:v>INJ</c:v>
                </c:pt>
                <c:pt idx="5">
                  <c:v>Cap</c:v>
                </c:pt>
                <c:pt idx="6">
                  <c:v>KID</c:v>
                </c:pt>
                <c:pt idx="7">
                  <c:v>Others</c:v>
                </c:pt>
              </c:strCache>
            </c:strRef>
          </c:cat>
          <c:val>
            <c:numRef>
              <c:f>Sheet1!$B$2:$I$2</c:f>
              <c:numCache>
                <c:formatCode>0.00%</c:formatCode>
                <c:ptCount val="8"/>
                <c:pt idx="0">
                  <c:v>0.28600000000000031</c:v>
                </c:pt>
                <c:pt idx="1">
                  <c:v>0.21300000000000024</c:v>
                </c:pt>
                <c:pt idx="2">
                  <c:v>0.17300000000000001</c:v>
                </c:pt>
                <c:pt idx="3">
                  <c:v>9.6000000000000224E-2</c:v>
                </c:pt>
                <c:pt idx="4">
                  <c:v>5.8000000000000114E-2</c:v>
                </c:pt>
                <c:pt idx="5">
                  <c:v>5.8000000000000114E-2</c:v>
                </c:pt>
                <c:pt idx="6">
                  <c:v>5.1000000000000004E-2</c:v>
                </c:pt>
                <c:pt idx="7">
                  <c:v>6.6000000000000003E-2</c:v>
                </c:pt>
              </c:numCache>
            </c:numRef>
          </c:val>
        </c:ser>
        <c:ser>
          <c:idx val="1"/>
          <c:order val="1"/>
          <c:tx>
            <c:strRef>
              <c:f>Sheet1!$A$3</c:f>
              <c:strCache>
                <c:ptCount val="1"/>
              </c:strCache>
            </c:strRef>
          </c:tx>
          <c:spPr>
            <a:solidFill>
              <a:srgbClr val="333399"/>
            </a:solidFill>
            <a:ln w="12700">
              <a:solidFill>
                <a:srgbClr val="000000"/>
              </a:solidFill>
              <a:prstDash val="solid"/>
            </a:ln>
          </c:spPr>
          <c:cat>
            <c:strRef>
              <c:f>Sheet1!$B$1:$I$1</c:f>
              <c:strCache>
                <c:ptCount val="8"/>
                <c:pt idx="0">
                  <c:v>BPH</c:v>
                </c:pt>
                <c:pt idx="1">
                  <c:v>VS</c:v>
                </c:pt>
                <c:pt idx="2">
                  <c:v>CaB</c:v>
                </c:pt>
                <c:pt idx="3">
                  <c:v>UTI</c:v>
                </c:pt>
                <c:pt idx="4">
                  <c:v>INJ</c:v>
                </c:pt>
                <c:pt idx="5">
                  <c:v>Cap</c:v>
                </c:pt>
                <c:pt idx="6">
                  <c:v>KID</c:v>
                </c:pt>
                <c:pt idx="7">
                  <c:v>Others</c:v>
                </c:pt>
              </c:strCache>
            </c:strRef>
          </c:cat>
          <c:val>
            <c:numRef>
              <c:f>Sheet1!$B$3:$I$3</c:f>
              <c:numCache>
                <c:formatCode>General</c:formatCode>
                <c:ptCount val="8"/>
              </c:numCache>
            </c:numRef>
          </c:val>
        </c:ser>
        <c:ser>
          <c:idx val="2"/>
          <c:order val="2"/>
          <c:tx>
            <c:strRef>
              <c:f>Sheet1!$A$4</c:f>
              <c:strCache>
                <c:ptCount val="1"/>
              </c:strCache>
            </c:strRef>
          </c:tx>
          <c:spPr>
            <a:solidFill>
              <a:srgbClr val="009999"/>
            </a:solidFill>
            <a:ln w="12700">
              <a:solidFill>
                <a:srgbClr val="000000"/>
              </a:solidFill>
              <a:prstDash val="solid"/>
            </a:ln>
          </c:spPr>
          <c:cat>
            <c:strRef>
              <c:f>Sheet1!$B$1:$I$1</c:f>
              <c:strCache>
                <c:ptCount val="8"/>
                <c:pt idx="0">
                  <c:v>BPH</c:v>
                </c:pt>
                <c:pt idx="1">
                  <c:v>VS</c:v>
                </c:pt>
                <c:pt idx="2">
                  <c:v>CaB</c:v>
                </c:pt>
                <c:pt idx="3">
                  <c:v>UTI</c:v>
                </c:pt>
                <c:pt idx="4">
                  <c:v>INJ</c:v>
                </c:pt>
                <c:pt idx="5">
                  <c:v>Cap</c:v>
                </c:pt>
                <c:pt idx="6">
                  <c:v>KID</c:v>
                </c:pt>
                <c:pt idx="7">
                  <c:v>Others</c:v>
                </c:pt>
              </c:strCache>
            </c:strRef>
          </c:cat>
          <c:val>
            <c:numRef>
              <c:f>Sheet1!$B$4:$I$4</c:f>
              <c:numCache>
                <c:formatCode>General</c:formatCode>
                <c:ptCount val="8"/>
              </c:numCache>
            </c:numRef>
          </c:val>
        </c:ser>
        <c:axId val="82511744"/>
        <c:axId val="82513280"/>
      </c:barChart>
      <c:catAx>
        <c:axId val="82511744"/>
        <c:scaling>
          <c:orientation val="minMax"/>
        </c:scaling>
        <c:axPos val="b"/>
        <c:numFmt formatCode="0.0%" sourceLinked="0"/>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82513280"/>
        <c:crosses val="autoZero"/>
        <c:auto val="1"/>
        <c:lblAlgn val="ctr"/>
        <c:lblOffset val="100"/>
        <c:tickLblSkip val="1"/>
        <c:tickMarkSkip val="1"/>
      </c:catAx>
      <c:valAx>
        <c:axId val="82513280"/>
        <c:scaling>
          <c:orientation val="minMax"/>
        </c:scaling>
        <c:axPos val="l"/>
        <c:numFmt formatCode="0%" sourceLinked="0"/>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82511744"/>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823255737893124E-3"/>
          <c:y val="0.50047644044493556"/>
          <c:w val="0.97943037974683456"/>
          <c:h val="0.45500000000000002"/>
        </c:manualLayout>
      </c:layout>
      <c:barChart>
        <c:barDir val="col"/>
        <c:grouping val="clustered"/>
        <c:ser>
          <c:idx val="0"/>
          <c:order val="0"/>
          <c:tx>
            <c:strRef>
              <c:f>Sheet1!$A$2</c:f>
              <c:strCache>
                <c:ptCount val="1"/>
              </c:strCache>
            </c:strRef>
          </c:tx>
          <c:spPr>
            <a:gradFill rotWithShape="0">
              <a:gsLst>
                <a:gs pos="0">
                  <a:srgbClr val="33CCCC"/>
                </a:gs>
                <a:gs pos="100000">
                  <a:srgbClr val="33CCCC">
                    <a:gamma/>
                    <a:shade val="46275"/>
                    <a:invGamma/>
                  </a:srgbClr>
                </a:gs>
              </a:gsLst>
              <a:lin ang="5400000" scaled="1"/>
            </a:gradFill>
            <a:ln w="26326">
              <a:noFill/>
            </a:ln>
          </c:spPr>
          <c:dPt>
            <c:idx val="0"/>
            <c:spPr>
              <a:solidFill>
                <a:srgbClr val="FFFFFF"/>
              </a:solidFill>
              <a:ln w="13163">
                <a:solidFill>
                  <a:srgbClr val="000000"/>
                </a:solidFill>
                <a:prstDash val="solid"/>
              </a:ln>
            </c:spPr>
          </c:dPt>
          <c:dPt>
            <c:idx val="2"/>
            <c:spPr>
              <a:pattFill prst="wdUpDiag">
                <a:fgClr>
                  <a:srgbClr val="C0C0C0"/>
                </a:fgClr>
                <a:bgClr>
                  <a:srgbClr val="333333"/>
                </a:bgClr>
              </a:pattFill>
              <a:ln w="26326">
                <a:noFill/>
              </a:ln>
            </c:spPr>
          </c:dPt>
          <c:dPt>
            <c:idx val="3"/>
            <c:spPr>
              <a:pattFill prst="wdUpDiag">
                <a:fgClr>
                  <a:srgbClr val="C0C0C0"/>
                </a:fgClr>
                <a:bgClr>
                  <a:srgbClr val="333333"/>
                </a:bgClr>
              </a:pattFill>
              <a:ln w="26326">
                <a:noFill/>
              </a:ln>
            </c:spPr>
          </c:dPt>
          <c:dPt>
            <c:idx val="4"/>
            <c:spPr>
              <a:pattFill prst="wdUpDiag">
                <a:fgClr>
                  <a:srgbClr val="C0C0C0"/>
                </a:fgClr>
                <a:bgClr>
                  <a:srgbClr val="333333"/>
                </a:bgClr>
              </a:pattFill>
              <a:ln w="26326">
                <a:noFill/>
              </a:ln>
            </c:spPr>
          </c:dPt>
          <c:dPt>
            <c:idx val="5"/>
            <c:spPr>
              <a:pattFill prst="wdUpDiag">
                <a:fgClr>
                  <a:srgbClr val="C0C0C0"/>
                </a:fgClr>
                <a:bgClr>
                  <a:srgbClr val="333333"/>
                </a:bgClr>
              </a:pattFill>
              <a:ln w="26326">
                <a:noFill/>
              </a:ln>
            </c:spPr>
          </c:dPt>
          <c:dPt>
            <c:idx val="6"/>
            <c:spPr>
              <a:pattFill prst="pct10">
                <a:fgClr>
                  <a:srgbClr val="C0C0C0"/>
                </a:fgClr>
                <a:bgClr>
                  <a:srgbClr val="333333"/>
                </a:bgClr>
              </a:pattFill>
              <a:ln w="26326">
                <a:noFill/>
              </a:ln>
            </c:spPr>
          </c:dPt>
          <c:dPt>
            <c:idx val="7"/>
            <c:spPr>
              <a:gradFill rotWithShape="0">
                <a:gsLst>
                  <a:gs pos="0">
                    <a:srgbClr val="FFCC00"/>
                  </a:gs>
                  <a:gs pos="100000">
                    <a:srgbClr val="FFCC00">
                      <a:gamma/>
                      <a:shade val="46275"/>
                      <a:invGamma/>
                    </a:srgbClr>
                  </a:gs>
                </a:gsLst>
                <a:lin ang="5400000" scaled="1"/>
              </a:gradFill>
              <a:ln w="26326">
                <a:noFill/>
              </a:ln>
            </c:spPr>
          </c:dPt>
          <c:dPt>
            <c:idx val="8"/>
            <c:spPr>
              <a:solidFill>
                <a:srgbClr val="333333"/>
              </a:solidFill>
              <a:ln w="26326">
                <a:noFill/>
              </a:ln>
            </c:spPr>
          </c:dPt>
          <c:dPt>
            <c:idx val="9"/>
            <c:spPr>
              <a:solidFill>
                <a:srgbClr val="333333"/>
              </a:solidFill>
              <a:ln w="26326">
                <a:noFill/>
              </a:ln>
            </c:spPr>
          </c:dPt>
          <c:dLbls>
            <c:spPr>
              <a:noFill/>
              <a:ln w="26326">
                <a:noFill/>
              </a:ln>
            </c:spPr>
            <c:showVal val="1"/>
          </c:dLbls>
          <c:cat>
            <c:numRef>
              <c:f>Sheet1!$B$1:$L$1</c:f>
              <c:numCache>
                <c:formatCode>General</c:formatCode>
                <c:ptCount val="10"/>
              </c:numCache>
            </c:numRef>
          </c:cat>
          <c:val>
            <c:numRef>
              <c:f>Sheet1!$B$2:$L$2</c:f>
              <c:numCache>
                <c:formatCode>General</c:formatCode>
                <c:ptCount val="10"/>
                <c:pt idx="0">
                  <c:v>1.6</c:v>
                </c:pt>
                <c:pt idx="1">
                  <c:v>0</c:v>
                </c:pt>
                <c:pt idx="2">
                  <c:v>2.2000000000000002</c:v>
                </c:pt>
                <c:pt idx="3">
                  <c:v>2.4</c:v>
                </c:pt>
                <c:pt idx="4">
                  <c:v>3.3</c:v>
                </c:pt>
                <c:pt idx="5">
                  <c:v>5.0999999999999996</c:v>
                </c:pt>
                <c:pt idx="6" formatCode="0.0">
                  <c:v>10.4</c:v>
                </c:pt>
                <c:pt idx="7">
                  <c:v>0</c:v>
                </c:pt>
                <c:pt idx="8">
                  <c:v>6.3</c:v>
                </c:pt>
                <c:pt idx="9" formatCode="0.0">
                  <c:v>7</c:v>
                </c:pt>
              </c:numCache>
            </c:numRef>
          </c:val>
        </c:ser>
        <c:gapWidth val="130"/>
        <c:axId val="96671232"/>
        <c:axId val="96672768"/>
      </c:barChart>
      <c:catAx>
        <c:axId val="96671232"/>
        <c:scaling>
          <c:orientation val="minMax"/>
        </c:scaling>
        <c:axPos val="b"/>
        <c:numFmt formatCode="General" sourceLinked="1"/>
        <c:majorTickMark val="none"/>
        <c:tickLblPos val="nextTo"/>
        <c:spPr>
          <a:ln w="26326">
            <a:solidFill>
              <a:srgbClr val="000000"/>
            </a:solidFill>
            <a:prstDash val="solid"/>
          </a:ln>
        </c:spPr>
        <c:txPr>
          <a:bodyPr rot="0" vert="horz"/>
          <a:lstStyle/>
          <a:p>
            <a:pPr>
              <a:defRPr/>
            </a:pPr>
            <a:endParaRPr lang="en-US"/>
          </a:p>
        </c:txPr>
        <c:crossAx val="96672768"/>
        <c:crosses val="autoZero"/>
        <c:lblAlgn val="ctr"/>
        <c:lblOffset val="100"/>
        <c:tickLblSkip val="1"/>
        <c:tickMarkSkip val="1"/>
      </c:catAx>
      <c:valAx>
        <c:axId val="96672768"/>
        <c:scaling>
          <c:orientation val="minMax"/>
        </c:scaling>
        <c:delete val="1"/>
        <c:axPos val="l"/>
        <c:numFmt formatCode="General" sourceLinked="1"/>
        <c:tickLblPos val="none"/>
        <c:crossAx val="96671232"/>
        <c:crosses val="autoZero"/>
        <c:crossBetween val="between"/>
      </c:valAx>
      <c:spPr>
        <a:noFill/>
        <a:ln w="26326">
          <a:noFill/>
        </a:ln>
      </c:spPr>
    </c:plotArea>
    <c:plotVisOnly val="1"/>
    <c:dispBlanksAs val="gap"/>
  </c:chart>
  <c:spPr>
    <a:noFill/>
    <a:ln>
      <a:noFill/>
    </a:ln>
  </c:spPr>
  <c:txPr>
    <a:bodyPr/>
    <a:lstStyle/>
    <a:p>
      <a:pPr>
        <a:defRPr sz="881" b="1" i="0" u="none" strike="noStrike" baseline="0">
          <a:solidFill>
            <a:srgbClr val="000000"/>
          </a:solidFill>
          <a:latin typeface="+mn-lt"/>
          <a:ea typeface="Times New Roman"/>
          <a:cs typeface="Times New Roman"/>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68948655256695"/>
          <c:y val="9.1304347826087748E-2"/>
          <c:w val="0.87530562347189256"/>
          <c:h val="0.75217391304348824"/>
        </c:manualLayout>
      </c:layout>
      <c:barChart>
        <c:barDir val="col"/>
        <c:grouping val="clustered"/>
        <c:ser>
          <c:idx val="0"/>
          <c:order val="0"/>
          <c:tx>
            <c:strRef>
              <c:f>Sheet1!$A$2</c:f>
              <c:strCache>
                <c:ptCount val="1"/>
              </c:strCache>
            </c:strRef>
          </c:tx>
          <c:spPr>
            <a:solidFill>
              <a:srgbClr val="BBE0E3"/>
            </a:solidFill>
            <a:ln w="12700">
              <a:solidFill>
                <a:srgbClr val="000000"/>
              </a:solidFill>
              <a:prstDash val="solid"/>
            </a:ln>
          </c:spPr>
          <c:dLbls>
            <c:numFmt formatCode="0.0%" sourceLinked="0"/>
            <c:spPr>
              <a:noFill/>
              <a:ln w="25400">
                <a:noFill/>
              </a:ln>
            </c:spPr>
            <c:txPr>
              <a:bodyPr/>
              <a:lstStyle/>
              <a:p>
                <a:pPr>
                  <a:defRPr sz="675" b="1" i="0" u="none" strike="noStrike" baseline="0">
                    <a:solidFill>
                      <a:srgbClr val="000000"/>
                    </a:solidFill>
                    <a:latin typeface="Arial"/>
                    <a:ea typeface="Arial"/>
                    <a:cs typeface="Arial"/>
                  </a:defRPr>
                </a:pPr>
                <a:endParaRPr lang="en-US"/>
              </a:p>
            </c:txPr>
            <c:showVal val="1"/>
          </c:dLbls>
          <c:cat>
            <c:strRef>
              <c:f>Sheet1!$B$1:$I$1</c:f>
              <c:strCache>
                <c:ptCount val="8"/>
                <c:pt idx="0">
                  <c:v>BPH</c:v>
                </c:pt>
                <c:pt idx="1">
                  <c:v>VS</c:v>
                </c:pt>
                <c:pt idx="2">
                  <c:v>CaB</c:v>
                </c:pt>
                <c:pt idx="3">
                  <c:v>UTI</c:v>
                </c:pt>
                <c:pt idx="4">
                  <c:v>INJ</c:v>
                </c:pt>
                <c:pt idx="5">
                  <c:v>Cap</c:v>
                </c:pt>
                <c:pt idx="6">
                  <c:v>KID</c:v>
                </c:pt>
                <c:pt idx="7">
                  <c:v>Others</c:v>
                </c:pt>
              </c:strCache>
            </c:strRef>
          </c:cat>
          <c:val>
            <c:numRef>
              <c:f>Sheet1!$B$2:$I$2</c:f>
              <c:numCache>
                <c:formatCode>0.00%</c:formatCode>
                <c:ptCount val="8"/>
                <c:pt idx="0">
                  <c:v>0.28600000000000031</c:v>
                </c:pt>
                <c:pt idx="1">
                  <c:v>0.21300000000000024</c:v>
                </c:pt>
                <c:pt idx="2">
                  <c:v>0.17300000000000001</c:v>
                </c:pt>
                <c:pt idx="3">
                  <c:v>9.6000000000000224E-2</c:v>
                </c:pt>
                <c:pt idx="4">
                  <c:v>5.8000000000000114E-2</c:v>
                </c:pt>
                <c:pt idx="5">
                  <c:v>5.8000000000000114E-2</c:v>
                </c:pt>
                <c:pt idx="6">
                  <c:v>5.1000000000000004E-2</c:v>
                </c:pt>
                <c:pt idx="7">
                  <c:v>6.6000000000000003E-2</c:v>
                </c:pt>
              </c:numCache>
            </c:numRef>
          </c:val>
        </c:ser>
        <c:ser>
          <c:idx val="1"/>
          <c:order val="1"/>
          <c:tx>
            <c:strRef>
              <c:f>Sheet1!$A$3</c:f>
              <c:strCache>
                <c:ptCount val="1"/>
              </c:strCache>
            </c:strRef>
          </c:tx>
          <c:spPr>
            <a:solidFill>
              <a:srgbClr val="333399"/>
            </a:solidFill>
            <a:ln w="12700">
              <a:solidFill>
                <a:srgbClr val="000000"/>
              </a:solidFill>
              <a:prstDash val="solid"/>
            </a:ln>
          </c:spPr>
          <c:cat>
            <c:strRef>
              <c:f>Sheet1!$B$1:$I$1</c:f>
              <c:strCache>
                <c:ptCount val="8"/>
                <c:pt idx="0">
                  <c:v>BPH</c:v>
                </c:pt>
                <c:pt idx="1">
                  <c:v>VS</c:v>
                </c:pt>
                <c:pt idx="2">
                  <c:v>CaB</c:v>
                </c:pt>
                <c:pt idx="3">
                  <c:v>UTI</c:v>
                </c:pt>
                <c:pt idx="4">
                  <c:v>INJ</c:v>
                </c:pt>
                <c:pt idx="5">
                  <c:v>Cap</c:v>
                </c:pt>
                <c:pt idx="6">
                  <c:v>KID</c:v>
                </c:pt>
                <c:pt idx="7">
                  <c:v>Others</c:v>
                </c:pt>
              </c:strCache>
            </c:strRef>
          </c:cat>
          <c:val>
            <c:numRef>
              <c:f>Sheet1!$B$3:$I$3</c:f>
              <c:numCache>
                <c:formatCode>General</c:formatCode>
                <c:ptCount val="8"/>
              </c:numCache>
            </c:numRef>
          </c:val>
        </c:ser>
        <c:ser>
          <c:idx val="2"/>
          <c:order val="2"/>
          <c:tx>
            <c:strRef>
              <c:f>Sheet1!$A$4</c:f>
              <c:strCache>
                <c:ptCount val="1"/>
              </c:strCache>
            </c:strRef>
          </c:tx>
          <c:spPr>
            <a:solidFill>
              <a:srgbClr val="009999"/>
            </a:solidFill>
            <a:ln w="12700">
              <a:solidFill>
                <a:srgbClr val="000000"/>
              </a:solidFill>
              <a:prstDash val="solid"/>
            </a:ln>
          </c:spPr>
          <c:cat>
            <c:strRef>
              <c:f>Sheet1!$B$1:$I$1</c:f>
              <c:strCache>
                <c:ptCount val="8"/>
                <c:pt idx="0">
                  <c:v>BPH</c:v>
                </c:pt>
                <c:pt idx="1">
                  <c:v>VS</c:v>
                </c:pt>
                <c:pt idx="2">
                  <c:v>CaB</c:v>
                </c:pt>
                <c:pt idx="3">
                  <c:v>UTI</c:v>
                </c:pt>
                <c:pt idx="4">
                  <c:v>INJ</c:v>
                </c:pt>
                <c:pt idx="5">
                  <c:v>Cap</c:v>
                </c:pt>
                <c:pt idx="6">
                  <c:v>KID</c:v>
                </c:pt>
                <c:pt idx="7">
                  <c:v>Others</c:v>
                </c:pt>
              </c:strCache>
            </c:strRef>
          </c:cat>
          <c:val>
            <c:numRef>
              <c:f>Sheet1!$B$4:$I$4</c:f>
              <c:numCache>
                <c:formatCode>General</c:formatCode>
                <c:ptCount val="8"/>
              </c:numCache>
            </c:numRef>
          </c:val>
        </c:ser>
        <c:axId val="109656320"/>
        <c:axId val="109695360"/>
      </c:barChart>
      <c:catAx>
        <c:axId val="109656320"/>
        <c:scaling>
          <c:orientation val="minMax"/>
        </c:scaling>
        <c:axPos val="b"/>
        <c:numFmt formatCode="0.0%" sourceLinked="0"/>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09695360"/>
        <c:crosses val="autoZero"/>
        <c:auto val="1"/>
        <c:lblAlgn val="ctr"/>
        <c:lblOffset val="100"/>
        <c:tickLblSkip val="1"/>
        <c:tickMarkSkip val="1"/>
      </c:catAx>
      <c:valAx>
        <c:axId val="109695360"/>
        <c:scaling>
          <c:orientation val="minMax"/>
        </c:scaling>
        <c:axPos val="l"/>
        <c:numFmt formatCode="0%" sourceLinked="0"/>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09656320"/>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823255737893141E-3"/>
          <c:y val="0.50047644044493556"/>
          <c:w val="0.97943037974683456"/>
          <c:h val="0.45500000000000002"/>
        </c:manualLayout>
      </c:layout>
      <c:barChart>
        <c:barDir val="col"/>
        <c:grouping val="clustered"/>
        <c:ser>
          <c:idx val="0"/>
          <c:order val="0"/>
          <c:tx>
            <c:strRef>
              <c:f>Sheet1!$A$2</c:f>
              <c:strCache>
                <c:ptCount val="1"/>
              </c:strCache>
            </c:strRef>
          </c:tx>
          <c:spPr>
            <a:gradFill rotWithShape="0">
              <a:gsLst>
                <a:gs pos="0">
                  <a:srgbClr val="33CCCC"/>
                </a:gs>
                <a:gs pos="100000">
                  <a:srgbClr val="33CCCC">
                    <a:gamma/>
                    <a:shade val="46275"/>
                    <a:invGamma/>
                  </a:srgbClr>
                </a:gs>
              </a:gsLst>
              <a:lin ang="5400000" scaled="1"/>
            </a:gradFill>
            <a:ln w="26326">
              <a:noFill/>
            </a:ln>
          </c:spPr>
          <c:dPt>
            <c:idx val="0"/>
            <c:spPr>
              <a:solidFill>
                <a:srgbClr val="FFFFFF"/>
              </a:solidFill>
              <a:ln w="13163">
                <a:solidFill>
                  <a:srgbClr val="000000"/>
                </a:solidFill>
                <a:prstDash val="solid"/>
              </a:ln>
            </c:spPr>
          </c:dPt>
          <c:dPt>
            <c:idx val="2"/>
            <c:spPr>
              <a:pattFill prst="wdUpDiag">
                <a:fgClr>
                  <a:srgbClr val="C0C0C0"/>
                </a:fgClr>
                <a:bgClr>
                  <a:srgbClr val="333333"/>
                </a:bgClr>
              </a:pattFill>
              <a:ln w="26326">
                <a:noFill/>
              </a:ln>
            </c:spPr>
          </c:dPt>
          <c:dPt>
            <c:idx val="3"/>
            <c:spPr>
              <a:pattFill prst="wdUpDiag">
                <a:fgClr>
                  <a:srgbClr val="C0C0C0"/>
                </a:fgClr>
                <a:bgClr>
                  <a:srgbClr val="333333"/>
                </a:bgClr>
              </a:pattFill>
              <a:ln w="26326">
                <a:noFill/>
              </a:ln>
            </c:spPr>
          </c:dPt>
          <c:dPt>
            <c:idx val="4"/>
            <c:spPr>
              <a:pattFill prst="wdUpDiag">
                <a:fgClr>
                  <a:srgbClr val="C0C0C0"/>
                </a:fgClr>
                <a:bgClr>
                  <a:srgbClr val="333333"/>
                </a:bgClr>
              </a:pattFill>
              <a:ln w="26326">
                <a:noFill/>
              </a:ln>
            </c:spPr>
          </c:dPt>
          <c:dPt>
            <c:idx val="5"/>
            <c:spPr>
              <a:pattFill prst="wdUpDiag">
                <a:fgClr>
                  <a:srgbClr val="C0C0C0"/>
                </a:fgClr>
                <a:bgClr>
                  <a:srgbClr val="333333"/>
                </a:bgClr>
              </a:pattFill>
              <a:ln w="26326">
                <a:noFill/>
              </a:ln>
            </c:spPr>
          </c:dPt>
          <c:dPt>
            <c:idx val="6"/>
            <c:spPr>
              <a:pattFill prst="pct10">
                <a:fgClr>
                  <a:srgbClr val="C0C0C0"/>
                </a:fgClr>
                <a:bgClr>
                  <a:srgbClr val="333333"/>
                </a:bgClr>
              </a:pattFill>
              <a:ln w="26326">
                <a:noFill/>
              </a:ln>
            </c:spPr>
          </c:dPt>
          <c:dPt>
            <c:idx val="7"/>
            <c:spPr>
              <a:gradFill rotWithShape="0">
                <a:gsLst>
                  <a:gs pos="0">
                    <a:srgbClr val="FFCC00"/>
                  </a:gs>
                  <a:gs pos="100000">
                    <a:srgbClr val="FFCC00">
                      <a:gamma/>
                      <a:shade val="46275"/>
                      <a:invGamma/>
                    </a:srgbClr>
                  </a:gs>
                </a:gsLst>
                <a:lin ang="5400000" scaled="1"/>
              </a:gradFill>
              <a:ln w="26326">
                <a:noFill/>
              </a:ln>
            </c:spPr>
          </c:dPt>
          <c:dPt>
            <c:idx val="8"/>
            <c:spPr>
              <a:solidFill>
                <a:srgbClr val="333333"/>
              </a:solidFill>
              <a:ln w="26326">
                <a:noFill/>
              </a:ln>
            </c:spPr>
          </c:dPt>
          <c:dPt>
            <c:idx val="9"/>
            <c:spPr>
              <a:solidFill>
                <a:srgbClr val="333333"/>
              </a:solidFill>
              <a:ln w="26326">
                <a:noFill/>
              </a:ln>
            </c:spPr>
          </c:dPt>
          <c:dLbls>
            <c:spPr>
              <a:noFill/>
              <a:ln w="26326">
                <a:noFill/>
              </a:ln>
            </c:spPr>
            <c:showVal val="1"/>
          </c:dLbls>
          <c:cat>
            <c:numRef>
              <c:f>Sheet1!$B$1:$L$1</c:f>
              <c:numCache>
                <c:formatCode>General</c:formatCode>
                <c:ptCount val="10"/>
              </c:numCache>
            </c:numRef>
          </c:cat>
          <c:val>
            <c:numRef>
              <c:f>Sheet1!$B$2:$L$2</c:f>
              <c:numCache>
                <c:formatCode>General</c:formatCode>
                <c:ptCount val="10"/>
                <c:pt idx="0">
                  <c:v>1.6</c:v>
                </c:pt>
                <c:pt idx="1">
                  <c:v>0</c:v>
                </c:pt>
                <c:pt idx="2">
                  <c:v>2.2000000000000002</c:v>
                </c:pt>
                <c:pt idx="3">
                  <c:v>2.4</c:v>
                </c:pt>
                <c:pt idx="4">
                  <c:v>3.3</c:v>
                </c:pt>
                <c:pt idx="5">
                  <c:v>5.0999999999999996</c:v>
                </c:pt>
                <c:pt idx="6" formatCode="0.0">
                  <c:v>10.4</c:v>
                </c:pt>
                <c:pt idx="7">
                  <c:v>0</c:v>
                </c:pt>
                <c:pt idx="8">
                  <c:v>6.3</c:v>
                </c:pt>
                <c:pt idx="9" formatCode="0.0">
                  <c:v>7</c:v>
                </c:pt>
              </c:numCache>
            </c:numRef>
          </c:val>
        </c:ser>
        <c:gapWidth val="130"/>
        <c:axId val="121758464"/>
        <c:axId val="81342848"/>
      </c:barChart>
      <c:catAx>
        <c:axId val="121758464"/>
        <c:scaling>
          <c:orientation val="minMax"/>
        </c:scaling>
        <c:axPos val="b"/>
        <c:numFmt formatCode="General" sourceLinked="1"/>
        <c:majorTickMark val="none"/>
        <c:tickLblPos val="nextTo"/>
        <c:spPr>
          <a:ln w="26326">
            <a:solidFill>
              <a:srgbClr val="000000"/>
            </a:solidFill>
            <a:prstDash val="solid"/>
          </a:ln>
        </c:spPr>
        <c:txPr>
          <a:bodyPr rot="0" vert="horz"/>
          <a:lstStyle/>
          <a:p>
            <a:pPr>
              <a:defRPr/>
            </a:pPr>
            <a:endParaRPr lang="en-US"/>
          </a:p>
        </c:txPr>
        <c:crossAx val="81342848"/>
        <c:crosses val="autoZero"/>
        <c:lblAlgn val="ctr"/>
        <c:lblOffset val="100"/>
        <c:tickLblSkip val="1"/>
        <c:tickMarkSkip val="1"/>
      </c:catAx>
      <c:valAx>
        <c:axId val="81342848"/>
        <c:scaling>
          <c:orientation val="minMax"/>
        </c:scaling>
        <c:delete val="1"/>
        <c:axPos val="l"/>
        <c:numFmt formatCode="General" sourceLinked="1"/>
        <c:tickLblPos val="none"/>
        <c:crossAx val="121758464"/>
        <c:crosses val="autoZero"/>
        <c:crossBetween val="between"/>
      </c:valAx>
      <c:spPr>
        <a:noFill/>
        <a:ln w="26326">
          <a:noFill/>
        </a:ln>
      </c:spPr>
    </c:plotArea>
    <c:plotVisOnly val="1"/>
    <c:dispBlanksAs val="gap"/>
  </c:chart>
  <c:spPr>
    <a:noFill/>
    <a:ln>
      <a:noFill/>
    </a:ln>
  </c:spPr>
  <c:txPr>
    <a:bodyPr/>
    <a:lstStyle/>
    <a:p>
      <a:pPr>
        <a:defRPr sz="881" b="1" i="0" u="none" strike="noStrike" baseline="0">
          <a:solidFill>
            <a:srgbClr val="000000"/>
          </a:solidFill>
          <a:latin typeface="+mn-lt"/>
          <a:ea typeface="Times New Roman"/>
          <a:cs typeface="Times New Roman"/>
        </a:defRPr>
      </a:pPr>
      <a:endParaRPr lang="en-US"/>
    </a:p>
  </c:txPr>
  <c:externalData r:id="rId1"/>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0.22107</cdr:x>
      <cdr:y>0.42857</cdr:y>
    </cdr:from>
    <cdr:to>
      <cdr:x>0.55959</cdr:x>
      <cdr:y>0.61902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19200" y="857250"/>
          <a:ext cx="1866900" cy="380952"/>
        </a:xfrm>
        <a:prstGeom xmlns:a="http://schemas.openxmlformats.org/drawingml/2006/main" prst="rect">
          <a:avLst/>
        </a:prstGeom>
      </cdr:spPr>
    </cdr:pic>
  </cdr:relSizeAnchor>
  <cdr:relSizeAnchor xmlns:cdr="http://schemas.openxmlformats.org/drawingml/2006/chartDrawing">
    <cdr:from>
      <cdr:x>0.27807</cdr:x>
      <cdr:y>0.26667</cdr:y>
    </cdr:from>
    <cdr:to>
      <cdr:x>0.55437</cdr:x>
      <cdr:y>0.40474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313714" y="640088"/>
          <a:ext cx="1305352" cy="331409"/>
        </a:xfrm>
        <a:prstGeom xmlns:a="http://schemas.openxmlformats.org/drawingml/2006/main" prst="rect">
          <a:avLst/>
        </a:prstGeom>
      </cdr:spPr>
    </cdr:pic>
  </cdr:relSizeAnchor>
  <cdr:relSizeAnchor xmlns:cdr="http://schemas.openxmlformats.org/drawingml/2006/chartDrawing">
    <cdr:from>
      <cdr:x>0.56649</cdr:x>
      <cdr:y>0.29524</cdr:y>
    </cdr:from>
    <cdr:to>
      <cdr:x>0.79617</cdr:x>
      <cdr:y>0.43332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124200" y="590550"/>
          <a:ext cx="1266667" cy="276190"/>
        </a:xfrm>
        <a:prstGeom xmlns:a="http://schemas.openxmlformats.org/drawingml/2006/main" prst="rect">
          <a:avLst/>
        </a:prstGeom>
      </cdr:spPr>
    </cdr:pic>
  </cdr:relSizeAnchor>
  <cdr:relSizeAnchor xmlns:cdr="http://schemas.openxmlformats.org/drawingml/2006/chartDrawing">
    <cdr:from>
      <cdr:x>0.81177</cdr:x>
      <cdr:y>0.40476</cdr:y>
    </cdr:from>
    <cdr:to>
      <cdr:x>1</cdr:x>
      <cdr:y>0.54284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4476880" y="809625"/>
          <a:ext cx="1038095" cy="276190"/>
        </a:xfrm>
        <a:prstGeom xmlns:a="http://schemas.openxmlformats.org/drawingml/2006/main" prst="rect">
          <a:avLst/>
        </a:prstGeom>
      </cdr:spPr>
    </cdr:pic>
  </cdr:relSizeAnchor>
  <cdr:relSizeAnchor xmlns:cdr="http://schemas.openxmlformats.org/drawingml/2006/chartDrawing">
    <cdr:from>
      <cdr:x>0</cdr:x>
      <cdr:y>0.57619</cdr:y>
    </cdr:from>
    <cdr:to>
      <cdr:x>0.18823</cdr:x>
      <cdr:y>0.71427</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0" y="1152525"/>
          <a:ext cx="1038095" cy="27619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0.22107</cdr:x>
      <cdr:y>0.42857</cdr:y>
    </cdr:from>
    <cdr:to>
      <cdr:x>0.55959</cdr:x>
      <cdr:y>0.61902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19200" y="857250"/>
          <a:ext cx="1866900" cy="380952"/>
        </a:xfrm>
        <a:prstGeom xmlns:a="http://schemas.openxmlformats.org/drawingml/2006/main" prst="rect">
          <a:avLst/>
        </a:prstGeom>
      </cdr:spPr>
    </cdr:pic>
  </cdr:relSizeAnchor>
  <cdr:relSizeAnchor xmlns:cdr="http://schemas.openxmlformats.org/drawingml/2006/chartDrawing">
    <cdr:from>
      <cdr:x>0.27807</cdr:x>
      <cdr:y>0.26667</cdr:y>
    </cdr:from>
    <cdr:to>
      <cdr:x>0.55437</cdr:x>
      <cdr:y>0.40474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313714" y="640088"/>
          <a:ext cx="1305352" cy="331409"/>
        </a:xfrm>
        <a:prstGeom xmlns:a="http://schemas.openxmlformats.org/drawingml/2006/main" prst="rect">
          <a:avLst/>
        </a:prstGeom>
      </cdr:spPr>
    </cdr:pic>
  </cdr:relSizeAnchor>
  <cdr:relSizeAnchor xmlns:cdr="http://schemas.openxmlformats.org/drawingml/2006/chartDrawing">
    <cdr:from>
      <cdr:x>0.56649</cdr:x>
      <cdr:y>0.29524</cdr:y>
    </cdr:from>
    <cdr:to>
      <cdr:x>0.79617</cdr:x>
      <cdr:y>0.43332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124200" y="590550"/>
          <a:ext cx="1266667" cy="276190"/>
        </a:xfrm>
        <a:prstGeom xmlns:a="http://schemas.openxmlformats.org/drawingml/2006/main" prst="rect">
          <a:avLst/>
        </a:prstGeom>
      </cdr:spPr>
    </cdr:pic>
  </cdr:relSizeAnchor>
  <cdr:relSizeAnchor xmlns:cdr="http://schemas.openxmlformats.org/drawingml/2006/chartDrawing">
    <cdr:from>
      <cdr:x>0.81177</cdr:x>
      <cdr:y>0.40476</cdr:y>
    </cdr:from>
    <cdr:to>
      <cdr:x>1</cdr:x>
      <cdr:y>0.54284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4476880" y="809625"/>
          <a:ext cx="1038095" cy="276190"/>
        </a:xfrm>
        <a:prstGeom xmlns:a="http://schemas.openxmlformats.org/drawingml/2006/main" prst="rect">
          <a:avLst/>
        </a:prstGeom>
      </cdr:spPr>
    </cdr:pic>
  </cdr:relSizeAnchor>
  <cdr:relSizeAnchor xmlns:cdr="http://schemas.openxmlformats.org/drawingml/2006/chartDrawing">
    <cdr:from>
      <cdr:x>0</cdr:x>
      <cdr:y>0.57619</cdr:y>
    </cdr:from>
    <cdr:to>
      <cdr:x>0.18823</cdr:x>
      <cdr:y>0.71427</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0" y="1152525"/>
          <a:ext cx="1038095" cy="27619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211</TotalTime>
  <Pages>51</Pages>
  <Words>12460</Words>
  <Characters>71024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jwacs</dc:creator>
  <cp:lastModifiedBy>Prof. B. T. Ugwu</cp:lastModifiedBy>
  <cp:revision>45</cp:revision>
  <cp:lastPrinted>2016-07-08T13:07:00Z</cp:lastPrinted>
  <dcterms:created xsi:type="dcterms:W3CDTF">2016-10-06T22:42:00Z</dcterms:created>
  <dcterms:modified xsi:type="dcterms:W3CDTF">2017-08-01T15:02:00Z</dcterms:modified>
</cp:coreProperties>
</file>